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8941" w14:textId="77777777" w:rsidR="00213F23" w:rsidRPr="00EB04D7" w:rsidRDefault="00213F23" w:rsidP="00213F23">
      <w:pPr>
        <w:spacing w:after="160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EB04D7">
        <w:rPr>
          <w:rFonts w:ascii="Arial" w:eastAsiaTheme="minorHAnsi" w:hAnsi="Arial" w:cs="Arial"/>
          <w:b/>
          <w:sz w:val="22"/>
          <w:szCs w:val="22"/>
        </w:rPr>
        <w:t>DHS Board and DFCS State Advisory Board Meeting</w:t>
      </w:r>
    </w:p>
    <w:p w14:paraId="5E5E8955" w14:textId="44FA3D6F" w:rsidR="00213F23" w:rsidRPr="00EB04D7" w:rsidRDefault="00213F23" w:rsidP="00213F23">
      <w:pPr>
        <w:spacing w:after="160"/>
        <w:jc w:val="center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February 15</w:t>
      </w:r>
      <w:r w:rsidRPr="00EB04D7">
        <w:rPr>
          <w:rFonts w:ascii="Arial" w:eastAsiaTheme="minorHAnsi" w:hAnsi="Arial" w:cs="Arial"/>
          <w:sz w:val="22"/>
          <w:szCs w:val="22"/>
        </w:rPr>
        <w:t>, 2022</w:t>
      </w:r>
    </w:p>
    <w:p w14:paraId="6BC7727E" w14:textId="7E187506" w:rsidR="00213F23" w:rsidRPr="00EB04D7" w:rsidRDefault="00213F23" w:rsidP="00213F23">
      <w:pPr>
        <w:spacing w:after="160"/>
        <w:jc w:val="center"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Teams Live Event</w:t>
      </w:r>
      <w:r>
        <w:rPr>
          <w:rFonts w:ascii="Arial" w:eastAsiaTheme="minorHAnsi" w:hAnsi="Arial" w:cs="Arial"/>
          <w:sz w:val="22"/>
          <w:szCs w:val="22"/>
        </w:rPr>
        <w:t xml:space="preserve"> and In-Person</w:t>
      </w:r>
    </w:p>
    <w:p w14:paraId="5D804C33" w14:textId="2AC75C3D" w:rsidR="00213F23" w:rsidRPr="00EB04D7" w:rsidRDefault="00213F23" w:rsidP="00213F23">
      <w:pPr>
        <w:spacing w:after="160"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b/>
          <w:sz w:val="22"/>
          <w:szCs w:val="22"/>
        </w:rPr>
        <w:t xml:space="preserve">Board members present: </w:t>
      </w:r>
      <w:r w:rsidRPr="00EB04D7">
        <w:rPr>
          <w:rFonts w:ascii="Arial" w:eastAsiaTheme="minorHAnsi" w:hAnsi="Arial" w:cs="Arial"/>
          <w:sz w:val="22"/>
          <w:szCs w:val="22"/>
        </w:rPr>
        <w:t xml:space="preserve">Chair Belva Dorsey (R8), Secretary </w:t>
      </w:r>
      <w:r>
        <w:rPr>
          <w:rFonts w:ascii="Arial" w:eastAsiaTheme="minorHAnsi" w:hAnsi="Arial" w:cs="Arial"/>
          <w:sz w:val="22"/>
          <w:szCs w:val="22"/>
        </w:rPr>
        <w:t>Meredith Holt</w:t>
      </w:r>
      <w:r w:rsidRPr="00EB04D7">
        <w:rPr>
          <w:rFonts w:ascii="Arial" w:eastAsiaTheme="minorHAnsi" w:hAnsi="Arial" w:cs="Arial"/>
          <w:sz w:val="22"/>
          <w:szCs w:val="22"/>
        </w:rPr>
        <w:t xml:space="preserve"> (R1</w:t>
      </w:r>
      <w:r>
        <w:rPr>
          <w:rFonts w:ascii="Arial" w:eastAsiaTheme="minorHAnsi" w:hAnsi="Arial" w:cs="Arial"/>
          <w:sz w:val="22"/>
          <w:szCs w:val="22"/>
        </w:rPr>
        <w:t>3</w:t>
      </w:r>
      <w:r w:rsidRPr="00EB04D7">
        <w:rPr>
          <w:rFonts w:ascii="Arial" w:eastAsiaTheme="minorHAnsi" w:hAnsi="Arial" w:cs="Arial"/>
          <w:sz w:val="22"/>
          <w:szCs w:val="22"/>
        </w:rPr>
        <w:t xml:space="preserve">), </w:t>
      </w:r>
      <w:r w:rsidRPr="00EB04D7">
        <w:rPr>
          <w:rFonts w:ascii="Arial" w:eastAsiaTheme="minorHAnsi" w:hAnsi="Arial" w:cs="Arial"/>
          <w:bCs/>
          <w:sz w:val="22"/>
          <w:szCs w:val="22"/>
        </w:rPr>
        <w:t>Dr. Fran Chastain (R2),</w:t>
      </w:r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Pr="00EB04D7">
        <w:rPr>
          <w:rFonts w:ascii="Arial" w:eastAsiaTheme="minorHAnsi" w:hAnsi="Arial" w:cs="Arial"/>
          <w:sz w:val="22"/>
          <w:szCs w:val="22"/>
        </w:rPr>
        <w:t>Susie Weller (AL),</w:t>
      </w:r>
      <w:bookmarkStart w:id="0" w:name="_Hlk87344611"/>
      <w:r w:rsidRPr="00EB04D7">
        <w:rPr>
          <w:rFonts w:ascii="Arial" w:eastAsiaTheme="minorHAnsi" w:hAnsi="Arial" w:cs="Arial"/>
          <w:bCs/>
          <w:sz w:val="22"/>
          <w:szCs w:val="22"/>
        </w:rPr>
        <w:t xml:space="preserve"> </w:t>
      </w:r>
      <w:bookmarkEnd w:id="0"/>
      <w:r w:rsidRPr="00EB04D7">
        <w:rPr>
          <w:rFonts w:ascii="Arial" w:eastAsiaTheme="minorHAnsi" w:hAnsi="Arial" w:cs="Arial"/>
          <w:bCs/>
          <w:sz w:val="22"/>
          <w:szCs w:val="22"/>
        </w:rPr>
        <w:t>Laci Tippins (R11)</w:t>
      </w:r>
      <w:r w:rsidRPr="00EB04D7">
        <w:rPr>
          <w:rFonts w:ascii="Arial" w:eastAsiaTheme="minorHAnsi" w:hAnsi="Arial" w:cs="Arial"/>
          <w:sz w:val="22"/>
          <w:szCs w:val="22"/>
        </w:rPr>
        <w:t>,</w:t>
      </w:r>
      <w:r w:rsidR="009C2D7D">
        <w:rPr>
          <w:rFonts w:ascii="Arial" w:eastAsiaTheme="minorHAnsi" w:hAnsi="Arial" w:cs="Arial"/>
          <w:sz w:val="22"/>
          <w:szCs w:val="22"/>
        </w:rPr>
        <w:t xml:space="preserve"> </w:t>
      </w:r>
      <w:r w:rsidR="009C2D7D" w:rsidRPr="00EB04D7">
        <w:rPr>
          <w:rFonts w:ascii="Arial" w:eastAsiaTheme="minorHAnsi" w:hAnsi="Arial" w:cs="Arial"/>
          <w:bCs/>
          <w:sz w:val="22"/>
          <w:szCs w:val="22"/>
        </w:rPr>
        <w:t>Allyson Christianson (</w:t>
      </w:r>
      <w:r w:rsidR="009C2D7D">
        <w:rPr>
          <w:rFonts w:ascii="Arial" w:eastAsiaTheme="minorHAnsi" w:hAnsi="Arial" w:cs="Arial"/>
          <w:bCs/>
          <w:sz w:val="22"/>
          <w:szCs w:val="22"/>
        </w:rPr>
        <w:t>12</w:t>
      </w:r>
      <w:r w:rsidR="009C2D7D" w:rsidRPr="00EB04D7">
        <w:rPr>
          <w:rFonts w:ascii="Arial" w:eastAsiaTheme="minorHAnsi" w:hAnsi="Arial" w:cs="Arial"/>
          <w:bCs/>
          <w:sz w:val="22"/>
          <w:szCs w:val="22"/>
        </w:rPr>
        <w:t>)</w:t>
      </w:r>
      <w:r w:rsidR="009C2D7D">
        <w:rPr>
          <w:rFonts w:ascii="Arial" w:eastAsiaTheme="minorHAnsi" w:hAnsi="Arial" w:cs="Arial"/>
          <w:bCs/>
          <w:sz w:val="22"/>
          <w:szCs w:val="22"/>
        </w:rPr>
        <w:t>,</w:t>
      </w:r>
      <w:r w:rsidRPr="00EB04D7">
        <w:rPr>
          <w:rFonts w:ascii="Arial" w:eastAsiaTheme="minorHAnsi" w:hAnsi="Arial" w:cs="Arial"/>
          <w:sz w:val="22"/>
          <w:szCs w:val="22"/>
        </w:rPr>
        <w:t xml:space="preserve"> </w:t>
      </w:r>
      <w:r w:rsidRPr="00EB04D7">
        <w:rPr>
          <w:rFonts w:ascii="Arial" w:eastAsiaTheme="minorHAnsi" w:hAnsi="Arial" w:cs="Arial"/>
          <w:bCs/>
          <w:sz w:val="22"/>
          <w:szCs w:val="22"/>
        </w:rPr>
        <w:t>Deke Copenhaver (R7)</w:t>
      </w:r>
      <w:r w:rsidRPr="00EB04D7">
        <w:rPr>
          <w:rFonts w:ascii="Arial" w:eastAsiaTheme="minorHAnsi" w:hAnsi="Arial" w:cs="Arial"/>
          <w:sz w:val="22"/>
          <w:szCs w:val="22"/>
        </w:rPr>
        <w:t xml:space="preserve">, </w:t>
      </w:r>
      <w:r w:rsidRPr="00EB04D7">
        <w:rPr>
          <w:rFonts w:ascii="Arial" w:eastAsiaTheme="minorHAnsi" w:hAnsi="Arial" w:cs="Arial"/>
          <w:bCs/>
          <w:sz w:val="22"/>
          <w:szCs w:val="22"/>
        </w:rPr>
        <w:t xml:space="preserve">Travis Niblett (R9), </w:t>
      </w:r>
      <w:r w:rsidRPr="00EB04D7">
        <w:rPr>
          <w:rFonts w:ascii="Arial" w:eastAsiaTheme="minorHAnsi" w:hAnsi="Arial" w:cs="Arial"/>
          <w:sz w:val="22"/>
          <w:szCs w:val="22"/>
        </w:rPr>
        <w:t>Nancy White (R6)</w:t>
      </w:r>
      <w:r w:rsidRPr="00EB04D7">
        <w:rPr>
          <w:rFonts w:ascii="Arial" w:eastAsiaTheme="minorHAnsi" w:hAnsi="Arial" w:cs="Arial"/>
          <w:bCs/>
          <w:sz w:val="22"/>
          <w:szCs w:val="22"/>
        </w:rPr>
        <w:t xml:space="preserve">, Octavia Fugerson (R5), </w:t>
      </w:r>
      <w:r w:rsidRPr="00EB04D7">
        <w:rPr>
          <w:rFonts w:ascii="Arial" w:hAnsi="Arial" w:cs="Arial"/>
          <w:sz w:val="22"/>
          <w:szCs w:val="22"/>
        </w:rPr>
        <w:t>Jennifer Shinpoch (AL), Randel Hambrick (R3)</w:t>
      </w:r>
      <w:r>
        <w:rPr>
          <w:rFonts w:ascii="Arial" w:hAnsi="Arial" w:cs="Arial"/>
          <w:sz w:val="22"/>
          <w:szCs w:val="22"/>
        </w:rPr>
        <w:t xml:space="preserve">, </w:t>
      </w:r>
      <w:r w:rsidRPr="00EB04D7">
        <w:rPr>
          <w:rFonts w:ascii="Arial" w:hAnsi="Arial" w:cs="Arial"/>
          <w:sz w:val="22"/>
          <w:szCs w:val="22"/>
        </w:rPr>
        <w:t>JaNice VanNess (AL)</w:t>
      </w:r>
    </w:p>
    <w:p w14:paraId="288E9E8D" w14:textId="761C9764" w:rsidR="00213F23" w:rsidRDefault="00213F23" w:rsidP="00213F23">
      <w:pPr>
        <w:spacing w:after="160"/>
        <w:rPr>
          <w:rFonts w:ascii="Arial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b/>
          <w:sz w:val="22"/>
          <w:szCs w:val="22"/>
        </w:rPr>
        <w:t>Board members absent</w:t>
      </w:r>
      <w:r>
        <w:rPr>
          <w:rFonts w:ascii="Arial" w:eastAsiaTheme="minorHAnsi" w:hAnsi="Arial" w:cs="Arial"/>
          <w:b/>
          <w:sz w:val="22"/>
          <w:szCs w:val="22"/>
        </w:rPr>
        <w:t>:</w:t>
      </w:r>
      <w:r w:rsidRPr="00EB04D7">
        <w:rPr>
          <w:rFonts w:ascii="Arial" w:eastAsiaTheme="minorHAnsi" w:hAnsi="Arial" w:cs="Arial"/>
          <w:bCs/>
          <w:sz w:val="22"/>
          <w:szCs w:val="22"/>
        </w:rPr>
        <w:t xml:space="preserve"> </w:t>
      </w:r>
      <w:r>
        <w:rPr>
          <w:rFonts w:ascii="Arial" w:eastAsiaTheme="minorHAnsi" w:hAnsi="Arial" w:cs="Arial"/>
          <w:bCs/>
          <w:sz w:val="22"/>
          <w:szCs w:val="22"/>
        </w:rPr>
        <w:t xml:space="preserve">Virgil Costley (AL), </w:t>
      </w:r>
      <w:r w:rsidRPr="00EB04D7">
        <w:rPr>
          <w:rFonts w:ascii="Arial" w:hAnsi="Arial" w:cs="Arial"/>
          <w:sz w:val="22"/>
          <w:szCs w:val="22"/>
        </w:rPr>
        <w:t>Judy Manning (AL</w:t>
      </w:r>
      <w:r>
        <w:rPr>
          <w:rFonts w:ascii="Arial" w:hAnsi="Arial" w:cs="Arial"/>
          <w:sz w:val="22"/>
          <w:szCs w:val="22"/>
        </w:rPr>
        <w:t>),</w:t>
      </w:r>
      <w:r w:rsidR="00FD14CD" w:rsidRPr="00FD14CD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FD14CD" w:rsidRPr="00EB04D7">
        <w:rPr>
          <w:rFonts w:ascii="Arial" w:eastAsiaTheme="minorHAnsi" w:hAnsi="Arial" w:cs="Arial"/>
          <w:bCs/>
          <w:sz w:val="22"/>
          <w:szCs w:val="22"/>
        </w:rPr>
        <w:t>Tommy Hill (R10)</w:t>
      </w:r>
      <w:r w:rsidR="00FD14CD">
        <w:rPr>
          <w:rFonts w:ascii="Arial" w:eastAsiaTheme="minorHAnsi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Shondeana Morris (R14), Vacant (R1), </w:t>
      </w:r>
      <w:r w:rsidRPr="00EB04D7">
        <w:rPr>
          <w:rFonts w:ascii="Arial" w:eastAsiaTheme="minorHAnsi" w:hAnsi="Arial" w:cs="Arial"/>
          <w:bCs/>
          <w:sz w:val="22"/>
          <w:szCs w:val="22"/>
        </w:rPr>
        <w:t>Vacant (R4)</w:t>
      </w:r>
    </w:p>
    <w:p w14:paraId="5406C393" w14:textId="1D1C8F31" w:rsidR="00213F23" w:rsidRPr="00EB04D7" w:rsidRDefault="00213F23" w:rsidP="00213F23">
      <w:pPr>
        <w:spacing w:after="160"/>
        <w:rPr>
          <w:rFonts w:ascii="Arial" w:eastAsiaTheme="minorHAnsi" w:hAnsi="Arial" w:cs="Arial"/>
          <w:sz w:val="22"/>
          <w:szCs w:val="22"/>
        </w:rPr>
      </w:pPr>
      <w:r w:rsidRPr="00213F23">
        <w:rPr>
          <w:rFonts w:ascii="Arial" w:hAnsi="Arial" w:cs="Arial"/>
          <w:b/>
          <w:bCs/>
          <w:sz w:val="22"/>
          <w:szCs w:val="22"/>
        </w:rPr>
        <w:t>D</w:t>
      </w:r>
      <w:r w:rsidRPr="00213F23">
        <w:rPr>
          <w:rFonts w:ascii="Arial" w:eastAsiaTheme="minorHAnsi" w:hAnsi="Arial" w:cs="Arial"/>
          <w:b/>
          <w:bCs/>
          <w:sz w:val="22"/>
          <w:szCs w:val="22"/>
        </w:rPr>
        <w:t xml:space="preserve">HS </w:t>
      </w:r>
      <w:r w:rsidRPr="00EB04D7">
        <w:rPr>
          <w:rFonts w:ascii="Arial" w:eastAsiaTheme="minorHAnsi" w:hAnsi="Arial" w:cs="Arial"/>
          <w:b/>
          <w:sz w:val="22"/>
          <w:szCs w:val="22"/>
        </w:rPr>
        <w:t xml:space="preserve">staff: </w:t>
      </w:r>
      <w:r w:rsidRPr="00EB04D7">
        <w:rPr>
          <w:rFonts w:ascii="Arial" w:eastAsiaTheme="minorHAnsi" w:hAnsi="Arial" w:cs="Arial"/>
          <w:sz w:val="22"/>
          <w:szCs w:val="22"/>
        </w:rPr>
        <w:t>Commissioner Candice Broce, Craig Foster, Matt Krull, LaMarva Ivory, Kylie Winton, Bryan Horn, Ann Burris, Mary Havick, Emma McCullough, Donna Yeomans, Jackie Tate, Melody DeBussey, MaryLea Boatwright Quinn, Robin Herron,</w:t>
      </w:r>
      <w:r>
        <w:rPr>
          <w:rFonts w:ascii="Arial" w:eastAsiaTheme="minorHAnsi" w:hAnsi="Arial" w:cs="Arial"/>
          <w:sz w:val="22"/>
          <w:szCs w:val="22"/>
        </w:rPr>
        <w:t xml:space="preserve"> Chuck Stone,</w:t>
      </w:r>
      <w:r w:rsidRPr="00EB04D7">
        <w:rPr>
          <w:rFonts w:ascii="Arial" w:eastAsiaTheme="minorHAnsi" w:hAnsi="Arial" w:cs="Arial"/>
          <w:sz w:val="22"/>
          <w:szCs w:val="22"/>
        </w:rPr>
        <w:t xml:space="preserve"> Chuck Inman, </w:t>
      </w:r>
      <w:r>
        <w:rPr>
          <w:rFonts w:ascii="Arial" w:eastAsiaTheme="minorHAnsi" w:hAnsi="Arial" w:cs="Arial"/>
          <w:sz w:val="22"/>
          <w:szCs w:val="22"/>
        </w:rPr>
        <w:t xml:space="preserve">John Hurst, </w:t>
      </w:r>
      <w:r w:rsidRPr="00EB04D7">
        <w:rPr>
          <w:rFonts w:ascii="Arial" w:eastAsiaTheme="minorHAnsi" w:hAnsi="Arial" w:cs="Arial"/>
          <w:sz w:val="22"/>
          <w:szCs w:val="22"/>
        </w:rPr>
        <w:t>Sarah Hurst, Demetrius Taylor,</w:t>
      </w:r>
      <w:r>
        <w:rPr>
          <w:rFonts w:ascii="Arial" w:eastAsiaTheme="minorHAnsi" w:hAnsi="Arial" w:cs="Arial"/>
          <w:sz w:val="22"/>
          <w:szCs w:val="22"/>
        </w:rPr>
        <w:t xml:space="preserve"> Melissa Barwick,</w:t>
      </w:r>
      <w:r w:rsidRPr="00EB04D7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Takissia Davis, Pamela Carr Cosby, </w:t>
      </w:r>
      <w:r w:rsidRPr="00EB04D7">
        <w:rPr>
          <w:rFonts w:ascii="Arial" w:eastAsiaTheme="minorHAnsi" w:hAnsi="Arial" w:cs="Arial"/>
          <w:sz w:val="22"/>
          <w:szCs w:val="22"/>
        </w:rPr>
        <w:t>Scott Rogers, Kirk Chaney</w:t>
      </w:r>
    </w:p>
    <w:p w14:paraId="2289CBE0" w14:textId="77777777" w:rsidR="00213F23" w:rsidRPr="00EB04D7" w:rsidRDefault="00213F23" w:rsidP="00213F23">
      <w:pPr>
        <w:pBdr>
          <w:bottom w:val="single" w:sz="6" w:space="1" w:color="auto"/>
        </w:pBdr>
        <w:spacing w:after="160"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 </w:t>
      </w:r>
    </w:p>
    <w:p w14:paraId="1B5F1251" w14:textId="05B55631" w:rsidR="00213F23" w:rsidRPr="00EB04D7" w:rsidRDefault="00213F23" w:rsidP="00213F23">
      <w:pPr>
        <w:numPr>
          <w:ilvl w:val="0"/>
          <w:numId w:val="1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Welcome and Introductions, housekeeping, and roll call by Chair B. Dorsey. Meeting called to order at </w:t>
      </w:r>
      <w:r>
        <w:rPr>
          <w:rFonts w:ascii="Arial" w:eastAsiaTheme="minorHAnsi" w:hAnsi="Arial" w:cs="Arial"/>
          <w:sz w:val="22"/>
          <w:szCs w:val="22"/>
        </w:rPr>
        <w:t>1:00 p.m</w:t>
      </w:r>
      <w:r w:rsidRPr="00EB04D7">
        <w:rPr>
          <w:rFonts w:ascii="Arial" w:eastAsiaTheme="minorHAnsi" w:hAnsi="Arial" w:cs="Arial"/>
          <w:sz w:val="22"/>
          <w:szCs w:val="22"/>
        </w:rPr>
        <w:t>. Quorum met.</w:t>
      </w:r>
    </w:p>
    <w:p w14:paraId="294E5AE9" w14:textId="23F63687" w:rsidR="00213F23" w:rsidRPr="00EB04D7" w:rsidRDefault="00213F23" w:rsidP="00213F23">
      <w:pPr>
        <w:numPr>
          <w:ilvl w:val="0"/>
          <w:numId w:val="1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Motion to approve today’s agenda. All in favor. Approved.</w:t>
      </w:r>
    </w:p>
    <w:p w14:paraId="3E0259F0" w14:textId="77777777" w:rsidR="00213F23" w:rsidRPr="00EB04D7" w:rsidRDefault="00213F23" w:rsidP="00213F23">
      <w:pPr>
        <w:spacing w:after="160"/>
        <w:ind w:left="2520"/>
        <w:contextualSpacing/>
        <w:rPr>
          <w:rFonts w:ascii="Arial" w:eastAsiaTheme="minorHAnsi" w:hAnsi="Arial" w:cs="Arial"/>
          <w:sz w:val="22"/>
          <w:szCs w:val="22"/>
        </w:rPr>
      </w:pPr>
    </w:p>
    <w:p w14:paraId="7B4115FD" w14:textId="77777777" w:rsidR="00213F23" w:rsidRPr="00EB04D7" w:rsidRDefault="00213F23" w:rsidP="00213F23">
      <w:pPr>
        <w:spacing w:after="160"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Presentation by MaryLea Boatwright Quinn, Assistant Deputy Commissioner, Aging Services</w:t>
      </w:r>
    </w:p>
    <w:p w14:paraId="0AF587E5" w14:textId="7CFB5219" w:rsidR="00213F23" w:rsidRPr="00EB04D7" w:rsidRDefault="00F06B89" w:rsidP="00213F23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F06B89">
        <w:rPr>
          <w:rFonts w:ascii="Arial" w:eastAsiaTheme="minorHAnsi" w:hAnsi="Arial" w:cs="Arial"/>
          <w:sz w:val="22"/>
          <w:szCs w:val="22"/>
        </w:rPr>
        <w:t>The Dementia Crisis: Facts and Figures​</w:t>
      </w:r>
    </w:p>
    <w:p w14:paraId="086B0EC6" w14:textId="3779528B" w:rsidR="00213F23" w:rsidRPr="00F06B89" w:rsidRDefault="00F06B89" w:rsidP="00213F23">
      <w:pPr>
        <w:numPr>
          <w:ilvl w:val="2"/>
          <w:numId w:val="2"/>
        </w:numPr>
        <w:rPr>
          <w:rStyle w:val="normaltextrun"/>
          <w:rFonts w:ascii="Arial" w:eastAsiaTheme="minorHAnsi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position w:val="1"/>
          <w:sz w:val="22"/>
          <w:szCs w:val="22"/>
          <w:bdr w:val="none" w:sz="0" w:space="0" w:color="auto" w:frame="1"/>
        </w:rPr>
        <w:t>1 in 9 Americans over 65 are living with Alzheimer’s Disease</w:t>
      </w:r>
    </w:p>
    <w:p w14:paraId="44607BEF" w14:textId="174156B5" w:rsidR="00F06B89" w:rsidRPr="00F06B89" w:rsidRDefault="00F06B89" w:rsidP="00213F23">
      <w:pPr>
        <w:numPr>
          <w:ilvl w:val="2"/>
          <w:numId w:val="2"/>
        </w:numPr>
        <w:rPr>
          <w:rStyle w:val="normaltextrun"/>
          <w:rFonts w:ascii="Arial" w:eastAsiaTheme="minorHAnsi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position w:val="1"/>
          <w:sz w:val="22"/>
          <w:szCs w:val="22"/>
          <w:bdr w:val="none" w:sz="0" w:space="0" w:color="auto" w:frame="1"/>
        </w:rPr>
        <w:t>1 in 3 Americans over 85 are living with Alzheimer’s Disease</w:t>
      </w:r>
    </w:p>
    <w:p w14:paraId="40A82935" w14:textId="500B4F18" w:rsidR="00F06B89" w:rsidRPr="00EB04D7" w:rsidRDefault="00F06B89" w:rsidP="00213F23">
      <w:pPr>
        <w:numPr>
          <w:ilvl w:val="2"/>
          <w:numId w:val="2"/>
        </w:numPr>
        <w:rPr>
          <w:rStyle w:val="normaltextrun"/>
          <w:rFonts w:ascii="Arial" w:eastAsiaTheme="minorHAnsi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position w:val="1"/>
          <w:sz w:val="22"/>
          <w:szCs w:val="22"/>
          <w:bdr w:val="none" w:sz="0" w:space="0" w:color="auto" w:frame="1"/>
        </w:rPr>
        <w:t xml:space="preserve">Half don’t know </w:t>
      </w:r>
      <w:proofErr w:type="gramStart"/>
      <w:r>
        <w:rPr>
          <w:rStyle w:val="normaltextrun"/>
          <w:rFonts w:ascii="Arial" w:hAnsi="Arial" w:cs="Arial"/>
          <w:color w:val="000000"/>
          <w:position w:val="1"/>
          <w:sz w:val="22"/>
          <w:szCs w:val="22"/>
          <w:bdr w:val="none" w:sz="0" w:space="0" w:color="auto" w:frame="1"/>
        </w:rPr>
        <w:t>it</w:t>
      </w:r>
      <w:proofErr w:type="gramEnd"/>
    </w:p>
    <w:p w14:paraId="7469E782" w14:textId="50DB6A73" w:rsidR="00213F23" w:rsidRPr="00EB04D7" w:rsidRDefault="00F06B89" w:rsidP="00213F23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Georgia Alzheimer’s &amp; Related Dementias (GARD) State Plan</w:t>
      </w:r>
    </w:p>
    <w:p w14:paraId="1DE35DF7" w14:textId="2FC10682" w:rsidR="00213F23" w:rsidRDefault="00F06B89" w:rsidP="00213F23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Originally signed in 2014 by Governor Deal</w:t>
      </w:r>
    </w:p>
    <w:p w14:paraId="1B2387DD" w14:textId="45B48A88" w:rsidR="00F06B89" w:rsidRDefault="00F06B89" w:rsidP="00213F23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2020- State Plan updated with new goals and strategies</w:t>
      </w:r>
    </w:p>
    <w:p w14:paraId="7C28AEBB" w14:textId="77777777" w:rsidR="003564F6" w:rsidRDefault="00F06B89" w:rsidP="003564F6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Six workgroups: Workforce development, Service Delivery, Outreach and Partnerships, Research and Data Collection, Public Safety, and Policy</w:t>
      </w:r>
    </w:p>
    <w:p w14:paraId="15023157" w14:textId="0C5D8E4C" w:rsidR="00213F23" w:rsidRPr="003564F6" w:rsidRDefault="003564F6" w:rsidP="003564F6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3564F6">
        <w:rPr>
          <w:rFonts w:ascii="Arial" w:eastAsiaTheme="minorHAnsi" w:hAnsi="Arial" w:cs="Arial"/>
          <w:sz w:val="22"/>
          <w:szCs w:val="22"/>
        </w:rPr>
        <w:t xml:space="preserve">Dementia Care Specialist in each AAA to create a “dementia- capable” aging </w:t>
      </w:r>
      <w:proofErr w:type="gramStart"/>
      <w:r w:rsidRPr="003564F6">
        <w:rPr>
          <w:rFonts w:ascii="Arial" w:eastAsiaTheme="minorHAnsi" w:hAnsi="Arial" w:cs="Arial"/>
          <w:sz w:val="22"/>
          <w:szCs w:val="22"/>
        </w:rPr>
        <w:t>network</w:t>
      </w:r>
      <w:proofErr w:type="gramEnd"/>
    </w:p>
    <w:p w14:paraId="102B989F" w14:textId="07C287E8" w:rsidR="00213F23" w:rsidRDefault="00213F23" w:rsidP="00213F23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G</w:t>
      </w:r>
      <w:r w:rsidR="003564F6">
        <w:rPr>
          <w:rFonts w:ascii="Arial" w:eastAsiaTheme="minorHAnsi" w:hAnsi="Arial" w:cs="Arial"/>
          <w:sz w:val="22"/>
          <w:szCs w:val="22"/>
        </w:rPr>
        <w:t>eorgia Memory Net</w:t>
      </w:r>
    </w:p>
    <w:p w14:paraId="4CE4818F" w14:textId="61DCDFDA" w:rsidR="003564F6" w:rsidRDefault="003564F6" w:rsidP="003564F6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Georgia Memory Assessment Clinic (MAC) location expansion</w:t>
      </w:r>
    </w:p>
    <w:p w14:paraId="718489C1" w14:textId="6714AC41" w:rsidR="003564F6" w:rsidRPr="00EB04D7" w:rsidRDefault="003564F6" w:rsidP="003564F6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Increasing from 5 to 7 locations</w:t>
      </w:r>
    </w:p>
    <w:p w14:paraId="2CFCB727" w14:textId="2A711AA1" w:rsidR="00213F23" w:rsidRPr="00EB04D7" w:rsidRDefault="003564F6" w:rsidP="00213F23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Early Detection and Diagnosis</w:t>
      </w:r>
    </w:p>
    <w:p w14:paraId="760B1D6B" w14:textId="219B7B8A" w:rsidR="00213F23" w:rsidRPr="00EB04D7" w:rsidRDefault="003564F6" w:rsidP="00213F23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Cognitive screenings, including Annual Wellness Visit</w:t>
      </w:r>
    </w:p>
    <w:p w14:paraId="2374924D" w14:textId="77777777" w:rsidR="00213F23" w:rsidRPr="00EB04D7" w:rsidRDefault="00213F23" w:rsidP="00213F23">
      <w:pPr>
        <w:rPr>
          <w:rFonts w:ascii="Arial" w:eastAsiaTheme="minorHAnsi" w:hAnsi="Arial" w:cs="Arial"/>
          <w:sz w:val="22"/>
          <w:szCs w:val="22"/>
        </w:rPr>
      </w:pPr>
    </w:p>
    <w:p w14:paraId="4A1D5456" w14:textId="444F1AA7" w:rsidR="00213F23" w:rsidRPr="00EB04D7" w:rsidRDefault="00213F23" w:rsidP="00213F23">
      <w:pPr>
        <w:spacing w:after="160"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lastRenderedPageBreak/>
        <w:t xml:space="preserve">Presentation by </w:t>
      </w:r>
      <w:r w:rsidR="00BB2168">
        <w:rPr>
          <w:rFonts w:ascii="Arial" w:eastAsiaTheme="minorHAnsi" w:hAnsi="Arial" w:cs="Arial"/>
          <w:sz w:val="22"/>
          <w:szCs w:val="22"/>
        </w:rPr>
        <w:t>John Hurst</w:t>
      </w:r>
      <w:r w:rsidRPr="00EB04D7">
        <w:rPr>
          <w:rFonts w:ascii="Arial" w:eastAsiaTheme="minorHAnsi" w:hAnsi="Arial" w:cs="Arial"/>
          <w:sz w:val="22"/>
          <w:szCs w:val="22"/>
        </w:rPr>
        <w:t xml:space="preserve">, </w:t>
      </w:r>
      <w:r w:rsidR="00BB2168">
        <w:rPr>
          <w:rFonts w:ascii="Arial" w:eastAsiaTheme="minorHAnsi" w:hAnsi="Arial" w:cs="Arial"/>
          <w:sz w:val="22"/>
          <w:szCs w:val="22"/>
        </w:rPr>
        <w:t xml:space="preserve">Assistant </w:t>
      </w:r>
      <w:r w:rsidRPr="00EB04D7">
        <w:rPr>
          <w:rFonts w:ascii="Arial" w:eastAsiaTheme="minorHAnsi" w:hAnsi="Arial" w:cs="Arial"/>
          <w:sz w:val="22"/>
          <w:szCs w:val="22"/>
        </w:rPr>
        <w:t xml:space="preserve">Deputy </w:t>
      </w:r>
      <w:r w:rsidR="00BB2168">
        <w:rPr>
          <w:rFonts w:ascii="Arial" w:eastAsiaTheme="minorHAnsi" w:hAnsi="Arial" w:cs="Arial"/>
          <w:sz w:val="22"/>
          <w:szCs w:val="22"/>
        </w:rPr>
        <w:t>Commissioner</w:t>
      </w:r>
      <w:r w:rsidRPr="00EB04D7">
        <w:rPr>
          <w:rFonts w:ascii="Arial" w:eastAsiaTheme="minorHAnsi" w:hAnsi="Arial" w:cs="Arial"/>
          <w:sz w:val="22"/>
          <w:szCs w:val="22"/>
        </w:rPr>
        <w:t>,</w:t>
      </w:r>
      <w:r w:rsidR="00BB2168">
        <w:rPr>
          <w:rFonts w:ascii="Arial" w:eastAsiaTheme="minorHAnsi" w:hAnsi="Arial" w:cs="Arial"/>
          <w:sz w:val="22"/>
          <w:szCs w:val="22"/>
        </w:rPr>
        <w:t xml:space="preserve"> and </w:t>
      </w:r>
      <w:proofErr w:type="spellStart"/>
      <w:r w:rsidR="00BB2168">
        <w:rPr>
          <w:rFonts w:ascii="Arial" w:eastAsiaTheme="minorHAnsi" w:hAnsi="Arial" w:cs="Arial"/>
          <w:sz w:val="22"/>
          <w:szCs w:val="22"/>
        </w:rPr>
        <w:t>Ashlei</w:t>
      </w:r>
      <w:proofErr w:type="spellEnd"/>
      <w:r w:rsidR="00BB2168">
        <w:rPr>
          <w:rFonts w:ascii="Arial" w:eastAsiaTheme="minorHAnsi" w:hAnsi="Arial" w:cs="Arial"/>
          <w:sz w:val="22"/>
          <w:szCs w:val="22"/>
        </w:rPr>
        <w:t xml:space="preserve"> Seals, Assistant Deputy Director,</w:t>
      </w:r>
      <w:r w:rsidRPr="00EB04D7">
        <w:rPr>
          <w:rFonts w:ascii="Arial" w:eastAsiaTheme="minorHAnsi" w:hAnsi="Arial" w:cs="Arial"/>
          <w:sz w:val="22"/>
          <w:szCs w:val="22"/>
        </w:rPr>
        <w:t xml:space="preserve"> Child Support Services</w:t>
      </w:r>
    </w:p>
    <w:p w14:paraId="62394234" w14:textId="0AC56052" w:rsidR="00213F23" w:rsidRPr="00EB04D7" w:rsidRDefault="00BB2168" w:rsidP="00213F23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Georgia Charting a Course for Economic Mobility and Responsible Parenting</w:t>
      </w:r>
    </w:p>
    <w:p w14:paraId="4DEB9C0D" w14:textId="733FD4E8" w:rsidR="00213F23" w:rsidRDefault="00BB2168" w:rsidP="00BB2168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$890,301 awarded to Georgia DCSS</w:t>
      </w:r>
    </w:p>
    <w:p w14:paraId="72D7C017" w14:textId="3B85B7D2" w:rsidR="00BB2168" w:rsidRPr="00EB04D7" w:rsidRDefault="00BB2168" w:rsidP="00BB2168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Partnership with Columbus State University to create and open access eLearning </w:t>
      </w:r>
      <w:proofErr w:type="gramStart"/>
      <w:r>
        <w:rPr>
          <w:rFonts w:ascii="Arial" w:eastAsiaTheme="minorHAnsi" w:hAnsi="Arial" w:cs="Arial"/>
          <w:sz w:val="22"/>
          <w:szCs w:val="22"/>
        </w:rPr>
        <w:t>curriculum</w:t>
      </w:r>
      <w:proofErr w:type="gramEnd"/>
    </w:p>
    <w:p w14:paraId="62CE8260" w14:textId="389C32AE" w:rsidR="00213F23" w:rsidRPr="00EB04D7" w:rsidRDefault="00352B4A" w:rsidP="00213F23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Safe Access for Victims’ Economic Security</w:t>
      </w:r>
    </w:p>
    <w:p w14:paraId="0A6BB59E" w14:textId="74ECAD3D" w:rsidR="00352B4A" w:rsidRDefault="00352B4A" w:rsidP="00352B4A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$313,873 awarded to Georgia DCSS</w:t>
      </w:r>
    </w:p>
    <w:p w14:paraId="52DB0067" w14:textId="77ECD25D" w:rsidR="00352B4A" w:rsidRDefault="00352B4A" w:rsidP="00352B4A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Approach: Increase access to child support and parenting time services for domestic violence victims</w:t>
      </w:r>
    </w:p>
    <w:p w14:paraId="4EE18F98" w14:textId="7D2A1BEE" w:rsidR="00352B4A" w:rsidRDefault="00352B4A" w:rsidP="00352B4A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New screening and response protocols, updated policies and case </w:t>
      </w:r>
      <w:proofErr w:type="gramStart"/>
      <w:r>
        <w:rPr>
          <w:rFonts w:ascii="Arial" w:eastAsiaTheme="minorHAnsi" w:hAnsi="Arial" w:cs="Arial"/>
          <w:sz w:val="22"/>
          <w:szCs w:val="22"/>
        </w:rPr>
        <w:t>processing</w:t>
      </w:r>
      <w:proofErr w:type="gramEnd"/>
    </w:p>
    <w:p w14:paraId="45B86BEA" w14:textId="518A0E2C" w:rsidR="00352B4A" w:rsidRDefault="00352B4A" w:rsidP="00352B4A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Partnerships with domestic violence agencies and legal aid</w:t>
      </w:r>
    </w:p>
    <w:p w14:paraId="053F8F11" w14:textId="44EFF32C" w:rsidR="00213F23" w:rsidRPr="00352B4A" w:rsidRDefault="00352B4A" w:rsidP="00352B4A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Expedited orders for support for </w:t>
      </w:r>
      <w:proofErr w:type="gramStart"/>
      <w:r>
        <w:rPr>
          <w:rFonts w:ascii="Arial" w:eastAsiaTheme="minorHAnsi" w:hAnsi="Arial" w:cs="Arial"/>
          <w:sz w:val="22"/>
          <w:szCs w:val="22"/>
        </w:rPr>
        <w:t>victims</w:t>
      </w:r>
      <w:proofErr w:type="gramEnd"/>
    </w:p>
    <w:p w14:paraId="52B0BCE7" w14:textId="77777777" w:rsidR="007E22C7" w:rsidRDefault="007E22C7" w:rsidP="00213F23">
      <w:pPr>
        <w:spacing w:after="160"/>
        <w:rPr>
          <w:rFonts w:ascii="Arial" w:eastAsiaTheme="minorHAnsi" w:hAnsi="Arial" w:cs="Arial"/>
          <w:sz w:val="22"/>
          <w:szCs w:val="22"/>
        </w:rPr>
      </w:pPr>
    </w:p>
    <w:p w14:paraId="7260228A" w14:textId="5A06D1F0" w:rsidR="00213F23" w:rsidRPr="00EB04D7" w:rsidRDefault="00213F23" w:rsidP="00213F23">
      <w:pPr>
        <w:spacing w:after="160"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Presentation by Mary Havick, DHS Deputy Commissioner, Child Welfare</w:t>
      </w:r>
    </w:p>
    <w:p w14:paraId="6D19FE24" w14:textId="77777777" w:rsidR="00213F23" w:rsidRPr="00EB04D7" w:rsidRDefault="00213F23" w:rsidP="00213F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Child Welfare Overview</w:t>
      </w:r>
    </w:p>
    <w:p w14:paraId="1937AE94" w14:textId="77777777" w:rsidR="00213F23" w:rsidRPr="00EB04D7" w:rsidRDefault="00213F23" w:rsidP="00213F23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CW Data</w:t>
      </w:r>
    </w:p>
    <w:p w14:paraId="08313537" w14:textId="1EC778BA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Open Intakes: </w:t>
      </w:r>
      <w:r w:rsidR="007E22C7">
        <w:rPr>
          <w:rFonts w:ascii="Arial" w:eastAsiaTheme="minorHAnsi" w:hAnsi="Arial" w:cs="Arial"/>
          <w:sz w:val="22"/>
          <w:szCs w:val="22"/>
        </w:rPr>
        <w:t>2,930 in December 2022</w:t>
      </w:r>
    </w:p>
    <w:p w14:paraId="62D34377" w14:textId="1B6318BE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Open Family Support Stages: </w:t>
      </w:r>
      <w:r w:rsidR="007E22C7">
        <w:rPr>
          <w:rFonts w:ascii="Arial" w:eastAsiaTheme="minorHAnsi" w:hAnsi="Arial" w:cs="Arial"/>
          <w:sz w:val="22"/>
          <w:szCs w:val="22"/>
        </w:rPr>
        <w:t>1,481</w:t>
      </w:r>
      <w:r w:rsidRPr="00EB04D7">
        <w:rPr>
          <w:rFonts w:ascii="Arial" w:eastAsiaTheme="minorHAnsi" w:hAnsi="Arial" w:cs="Arial"/>
          <w:sz w:val="22"/>
          <w:szCs w:val="22"/>
        </w:rPr>
        <w:t xml:space="preserve"> in </w:t>
      </w:r>
      <w:r w:rsidR="007E22C7">
        <w:rPr>
          <w:rFonts w:ascii="Arial" w:eastAsiaTheme="minorHAnsi" w:hAnsi="Arial" w:cs="Arial"/>
          <w:sz w:val="22"/>
          <w:szCs w:val="22"/>
        </w:rPr>
        <w:t xml:space="preserve">December </w:t>
      </w:r>
      <w:r w:rsidRPr="00EB04D7">
        <w:rPr>
          <w:rFonts w:ascii="Arial" w:eastAsiaTheme="minorHAnsi" w:hAnsi="Arial" w:cs="Arial"/>
          <w:sz w:val="22"/>
          <w:szCs w:val="22"/>
        </w:rPr>
        <w:t>2022</w:t>
      </w:r>
    </w:p>
    <w:p w14:paraId="5DD006D1" w14:textId="57138DAF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Open Investigations: </w:t>
      </w:r>
      <w:r w:rsidR="007E22C7">
        <w:rPr>
          <w:rFonts w:ascii="Arial" w:eastAsiaTheme="minorHAnsi" w:hAnsi="Arial" w:cs="Arial"/>
          <w:sz w:val="22"/>
          <w:szCs w:val="22"/>
        </w:rPr>
        <w:t>2,480</w:t>
      </w:r>
      <w:r w:rsidRPr="00EB04D7">
        <w:rPr>
          <w:rFonts w:ascii="Arial" w:eastAsiaTheme="minorHAnsi" w:hAnsi="Arial" w:cs="Arial"/>
          <w:sz w:val="22"/>
          <w:szCs w:val="22"/>
        </w:rPr>
        <w:t xml:space="preserve"> in </w:t>
      </w:r>
      <w:r w:rsidR="007E22C7">
        <w:rPr>
          <w:rFonts w:ascii="Arial" w:eastAsiaTheme="minorHAnsi" w:hAnsi="Arial" w:cs="Arial"/>
          <w:sz w:val="22"/>
          <w:szCs w:val="22"/>
        </w:rPr>
        <w:t>December</w:t>
      </w:r>
      <w:r w:rsidRPr="00EB04D7">
        <w:rPr>
          <w:rFonts w:ascii="Arial" w:eastAsiaTheme="minorHAnsi" w:hAnsi="Arial" w:cs="Arial"/>
          <w:sz w:val="22"/>
          <w:szCs w:val="22"/>
        </w:rPr>
        <w:t xml:space="preserve"> 2022</w:t>
      </w:r>
    </w:p>
    <w:p w14:paraId="10A270EC" w14:textId="1515CA68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Open Family Preservation Stages: 2</w:t>
      </w:r>
      <w:r w:rsidR="007E22C7">
        <w:rPr>
          <w:rFonts w:ascii="Arial" w:eastAsiaTheme="minorHAnsi" w:hAnsi="Arial" w:cs="Arial"/>
          <w:sz w:val="22"/>
          <w:szCs w:val="22"/>
        </w:rPr>
        <w:t xml:space="preserve">,904 </w:t>
      </w:r>
      <w:r w:rsidRPr="00EB04D7">
        <w:rPr>
          <w:rFonts w:ascii="Arial" w:eastAsiaTheme="minorHAnsi" w:hAnsi="Arial" w:cs="Arial"/>
          <w:sz w:val="22"/>
          <w:szCs w:val="22"/>
        </w:rPr>
        <w:t>in</w:t>
      </w:r>
      <w:r w:rsidR="007E22C7">
        <w:rPr>
          <w:rFonts w:ascii="Arial" w:eastAsiaTheme="minorHAnsi" w:hAnsi="Arial" w:cs="Arial"/>
          <w:sz w:val="22"/>
          <w:szCs w:val="22"/>
        </w:rPr>
        <w:t xml:space="preserve"> December </w:t>
      </w:r>
      <w:r w:rsidRPr="00EB04D7">
        <w:rPr>
          <w:rFonts w:ascii="Arial" w:eastAsiaTheme="minorHAnsi" w:hAnsi="Arial" w:cs="Arial"/>
          <w:sz w:val="22"/>
          <w:szCs w:val="22"/>
        </w:rPr>
        <w:t>2022</w:t>
      </w:r>
    </w:p>
    <w:p w14:paraId="42D2BDEA" w14:textId="5AD077F7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Children in Family Preservation: </w:t>
      </w:r>
      <w:r w:rsidR="007E22C7">
        <w:rPr>
          <w:rFonts w:ascii="Arial" w:eastAsiaTheme="minorHAnsi" w:hAnsi="Arial" w:cs="Arial"/>
          <w:sz w:val="22"/>
          <w:szCs w:val="22"/>
        </w:rPr>
        <w:t>8,150</w:t>
      </w:r>
      <w:r w:rsidRPr="00EB04D7">
        <w:rPr>
          <w:rFonts w:ascii="Arial" w:eastAsiaTheme="minorHAnsi" w:hAnsi="Arial" w:cs="Arial"/>
          <w:sz w:val="22"/>
          <w:szCs w:val="22"/>
        </w:rPr>
        <w:t xml:space="preserve"> in </w:t>
      </w:r>
      <w:r w:rsidR="007E22C7">
        <w:rPr>
          <w:rFonts w:ascii="Arial" w:eastAsiaTheme="minorHAnsi" w:hAnsi="Arial" w:cs="Arial"/>
          <w:sz w:val="22"/>
          <w:szCs w:val="22"/>
        </w:rPr>
        <w:t xml:space="preserve">December </w:t>
      </w:r>
      <w:r w:rsidRPr="00EB04D7">
        <w:rPr>
          <w:rFonts w:ascii="Arial" w:eastAsiaTheme="minorHAnsi" w:hAnsi="Arial" w:cs="Arial"/>
          <w:sz w:val="22"/>
          <w:szCs w:val="22"/>
        </w:rPr>
        <w:t>2022</w:t>
      </w:r>
    </w:p>
    <w:p w14:paraId="29CC8BFB" w14:textId="463C68F6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Open Voluntary Kinship Arrangements and Safety Resources (Children) in </w:t>
      </w:r>
      <w:r w:rsidR="007E22C7">
        <w:rPr>
          <w:rFonts w:ascii="Arial" w:eastAsiaTheme="minorHAnsi" w:hAnsi="Arial" w:cs="Arial"/>
          <w:sz w:val="22"/>
          <w:szCs w:val="22"/>
        </w:rPr>
        <w:t>December of</w:t>
      </w:r>
      <w:r w:rsidRPr="00EB04D7">
        <w:rPr>
          <w:rFonts w:ascii="Arial" w:eastAsiaTheme="minorHAnsi" w:hAnsi="Arial" w:cs="Arial"/>
          <w:sz w:val="22"/>
          <w:szCs w:val="22"/>
        </w:rPr>
        <w:t xml:space="preserve"> 2022</w:t>
      </w:r>
    </w:p>
    <w:p w14:paraId="2722EB16" w14:textId="2DE28351" w:rsidR="00213F23" w:rsidRPr="00EB04D7" w:rsidRDefault="00213F23" w:rsidP="00213F23">
      <w:pPr>
        <w:numPr>
          <w:ilvl w:val="4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2</w:t>
      </w:r>
      <w:r w:rsidR="007E22C7">
        <w:rPr>
          <w:rFonts w:ascii="Arial" w:eastAsiaTheme="minorHAnsi" w:hAnsi="Arial" w:cs="Arial"/>
          <w:sz w:val="22"/>
          <w:szCs w:val="22"/>
        </w:rPr>
        <w:t>19</w:t>
      </w:r>
      <w:r w:rsidRPr="00EB04D7">
        <w:rPr>
          <w:rFonts w:ascii="Arial" w:eastAsiaTheme="minorHAnsi" w:hAnsi="Arial" w:cs="Arial"/>
          <w:sz w:val="22"/>
          <w:szCs w:val="22"/>
        </w:rPr>
        <w:t xml:space="preserve"> Voluntary Kinship Arrangements </w:t>
      </w:r>
    </w:p>
    <w:p w14:paraId="01A168BD" w14:textId="77777777" w:rsidR="00213F23" w:rsidRPr="00EB04D7" w:rsidRDefault="00213F23" w:rsidP="00213F23">
      <w:pPr>
        <w:numPr>
          <w:ilvl w:val="4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9 Safety Resources</w:t>
      </w:r>
    </w:p>
    <w:p w14:paraId="283BC18D" w14:textId="3E697F94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Foster Children/Youth in Custody on Last Day of Month in</w:t>
      </w:r>
      <w:r w:rsidR="007E22C7">
        <w:rPr>
          <w:rFonts w:ascii="Arial" w:eastAsiaTheme="minorHAnsi" w:hAnsi="Arial" w:cs="Arial"/>
          <w:sz w:val="22"/>
          <w:szCs w:val="22"/>
        </w:rPr>
        <w:t xml:space="preserve"> December </w:t>
      </w:r>
      <w:r w:rsidRPr="00EB04D7">
        <w:rPr>
          <w:rFonts w:ascii="Arial" w:eastAsiaTheme="minorHAnsi" w:hAnsi="Arial" w:cs="Arial"/>
          <w:sz w:val="22"/>
          <w:szCs w:val="22"/>
        </w:rPr>
        <w:t>2022</w:t>
      </w:r>
    </w:p>
    <w:p w14:paraId="177CFC1E" w14:textId="7727B92B" w:rsidR="00213F23" w:rsidRPr="00EB04D7" w:rsidRDefault="00213F23" w:rsidP="00213F23">
      <w:pPr>
        <w:numPr>
          <w:ilvl w:val="4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0-17: 10</w:t>
      </w:r>
      <w:r w:rsidR="007E22C7">
        <w:rPr>
          <w:rFonts w:ascii="Arial" w:eastAsiaTheme="minorHAnsi" w:hAnsi="Arial" w:cs="Arial"/>
          <w:sz w:val="22"/>
          <w:szCs w:val="22"/>
        </w:rPr>
        <w:t>,782</w:t>
      </w:r>
    </w:p>
    <w:p w14:paraId="30E0CB3A" w14:textId="460E42A2" w:rsidR="00213F23" w:rsidRDefault="00213F23" w:rsidP="00213F23">
      <w:pPr>
        <w:numPr>
          <w:ilvl w:val="4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18-22: </w:t>
      </w:r>
      <w:r w:rsidR="007E22C7">
        <w:rPr>
          <w:rFonts w:ascii="Arial" w:eastAsiaTheme="minorHAnsi" w:hAnsi="Arial" w:cs="Arial"/>
          <w:sz w:val="22"/>
          <w:szCs w:val="22"/>
        </w:rPr>
        <w:t>651</w:t>
      </w:r>
    </w:p>
    <w:p w14:paraId="3AE1345E" w14:textId="447343D0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Children Adopted by Month: </w:t>
      </w:r>
      <w:r w:rsidR="00DE68E1">
        <w:rPr>
          <w:rFonts w:ascii="Arial" w:eastAsiaTheme="minorHAnsi" w:hAnsi="Arial" w:cs="Arial"/>
          <w:sz w:val="22"/>
          <w:szCs w:val="22"/>
        </w:rPr>
        <w:t>125</w:t>
      </w:r>
      <w:r w:rsidRPr="00EB04D7">
        <w:rPr>
          <w:rFonts w:ascii="Arial" w:eastAsiaTheme="minorHAnsi" w:hAnsi="Arial" w:cs="Arial"/>
          <w:sz w:val="22"/>
          <w:szCs w:val="22"/>
        </w:rPr>
        <w:t xml:space="preserve"> in </w:t>
      </w:r>
      <w:r w:rsidR="00DE68E1">
        <w:rPr>
          <w:rFonts w:ascii="Arial" w:eastAsiaTheme="minorHAnsi" w:hAnsi="Arial" w:cs="Arial"/>
          <w:sz w:val="22"/>
          <w:szCs w:val="22"/>
        </w:rPr>
        <w:t>November</w:t>
      </w:r>
      <w:r w:rsidRPr="00EB04D7">
        <w:rPr>
          <w:rFonts w:ascii="Arial" w:eastAsiaTheme="minorHAnsi" w:hAnsi="Arial" w:cs="Arial"/>
          <w:sz w:val="22"/>
          <w:szCs w:val="22"/>
        </w:rPr>
        <w:t xml:space="preserve"> of 2022</w:t>
      </w:r>
    </w:p>
    <w:p w14:paraId="26257B06" w14:textId="234021D1" w:rsidR="00213F23" w:rsidRDefault="00DE68E1" w:rsidP="00DE68E1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CFSR Round 4 Timeline:</w:t>
      </w:r>
    </w:p>
    <w:p w14:paraId="6E5E1415" w14:textId="5ED12FE1" w:rsidR="00DE68E1" w:rsidRDefault="00DE68E1" w:rsidP="00DE68E1">
      <w:pPr>
        <w:numPr>
          <w:ilvl w:val="4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Planning 2022 through June 2023</w:t>
      </w:r>
    </w:p>
    <w:p w14:paraId="1A26AE52" w14:textId="15843033" w:rsidR="00DE68E1" w:rsidRDefault="00DE68E1" w:rsidP="00DE68E1">
      <w:pPr>
        <w:numPr>
          <w:ilvl w:val="4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Evaluation July 2023 through May 2024</w:t>
      </w:r>
    </w:p>
    <w:p w14:paraId="17BAC68F" w14:textId="5A4A6002" w:rsidR="00DE68E1" w:rsidRPr="00EB04D7" w:rsidRDefault="00DE68E1" w:rsidP="00DE68E1">
      <w:pPr>
        <w:numPr>
          <w:ilvl w:val="4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Program Improvement June 2024 through December 2027</w:t>
      </w:r>
    </w:p>
    <w:p w14:paraId="06ED55FF" w14:textId="77777777" w:rsidR="00213F23" w:rsidRPr="00EB04D7" w:rsidRDefault="00213F23" w:rsidP="00213F23">
      <w:pPr>
        <w:rPr>
          <w:rFonts w:ascii="Arial" w:eastAsiaTheme="minorHAnsi" w:hAnsi="Arial" w:cs="Arial"/>
          <w:sz w:val="22"/>
          <w:szCs w:val="22"/>
        </w:rPr>
      </w:pPr>
      <w:bookmarkStart w:id="1" w:name="_Hlk97628583"/>
    </w:p>
    <w:bookmarkEnd w:id="1"/>
    <w:p w14:paraId="5A08CFAF" w14:textId="77777777" w:rsidR="00213F23" w:rsidRPr="00EB04D7" w:rsidRDefault="00213F23" w:rsidP="00213F23">
      <w:pPr>
        <w:spacing w:after="160"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Presentation by Melody DeBussey, DHS Deputy Commissioner, OFI</w:t>
      </w:r>
    </w:p>
    <w:p w14:paraId="1F144152" w14:textId="77777777" w:rsidR="00213F23" w:rsidRPr="00EB04D7" w:rsidRDefault="00213F23" w:rsidP="00213F23">
      <w:pPr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OFI Data</w:t>
      </w:r>
    </w:p>
    <w:p w14:paraId="671AAAF9" w14:textId="0DA40635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Unduplicated Families Served Across All Programs:</w:t>
      </w:r>
      <w:r w:rsidR="00DE68E1">
        <w:rPr>
          <w:rFonts w:ascii="Arial" w:eastAsiaTheme="minorHAnsi" w:hAnsi="Arial" w:cs="Arial"/>
          <w:sz w:val="22"/>
          <w:szCs w:val="22"/>
        </w:rPr>
        <w:t xml:space="preserve"> 1,506,335</w:t>
      </w:r>
      <w:r w:rsidRPr="00EB04D7">
        <w:rPr>
          <w:rFonts w:ascii="Arial" w:eastAsiaTheme="minorHAnsi" w:hAnsi="Arial" w:cs="Arial"/>
          <w:sz w:val="22"/>
          <w:szCs w:val="22"/>
        </w:rPr>
        <w:t xml:space="preserve"> Active Unduplicated Families in </w:t>
      </w:r>
      <w:r w:rsidR="00DE68E1">
        <w:rPr>
          <w:rFonts w:ascii="Arial" w:eastAsiaTheme="minorHAnsi" w:hAnsi="Arial" w:cs="Arial"/>
          <w:sz w:val="22"/>
          <w:szCs w:val="22"/>
        </w:rPr>
        <w:t>Decembe</w:t>
      </w:r>
      <w:r w:rsidRPr="00EB04D7">
        <w:rPr>
          <w:rFonts w:ascii="Arial" w:eastAsiaTheme="minorHAnsi" w:hAnsi="Arial" w:cs="Arial"/>
          <w:sz w:val="22"/>
          <w:szCs w:val="22"/>
        </w:rPr>
        <w:t>r 2022</w:t>
      </w:r>
    </w:p>
    <w:p w14:paraId="051DF78A" w14:textId="217FF44B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lastRenderedPageBreak/>
        <w:t xml:space="preserve">Caseload Size: Average Caseload Size in </w:t>
      </w:r>
      <w:r w:rsidR="00DE68E1">
        <w:rPr>
          <w:rFonts w:ascii="Arial" w:eastAsiaTheme="minorHAnsi" w:hAnsi="Arial" w:cs="Arial"/>
          <w:sz w:val="22"/>
          <w:szCs w:val="22"/>
        </w:rPr>
        <w:t>December 2022</w:t>
      </w:r>
      <w:r w:rsidRPr="00EB04D7">
        <w:rPr>
          <w:rFonts w:ascii="Arial" w:eastAsiaTheme="minorHAnsi" w:hAnsi="Arial" w:cs="Arial"/>
          <w:sz w:val="22"/>
          <w:szCs w:val="22"/>
        </w:rPr>
        <w:t xml:space="preserve"> was </w:t>
      </w:r>
      <w:proofErr w:type="gramStart"/>
      <w:r w:rsidRPr="00EB04D7">
        <w:rPr>
          <w:rFonts w:ascii="Arial" w:eastAsiaTheme="minorHAnsi" w:hAnsi="Arial" w:cs="Arial"/>
          <w:sz w:val="22"/>
          <w:szCs w:val="22"/>
        </w:rPr>
        <w:t>1,</w:t>
      </w:r>
      <w:r w:rsidR="00DE68E1">
        <w:rPr>
          <w:rFonts w:ascii="Arial" w:eastAsiaTheme="minorHAnsi" w:hAnsi="Arial" w:cs="Arial"/>
          <w:sz w:val="22"/>
          <w:szCs w:val="22"/>
        </w:rPr>
        <w:t>080</w:t>
      </w:r>
      <w:proofErr w:type="gramEnd"/>
    </w:p>
    <w:p w14:paraId="69AE1DE1" w14:textId="51C717AD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Frontline Staffing Levels: Frontline Staffing level processing cases was 1,</w:t>
      </w:r>
      <w:r w:rsidR="00DE68E1">
        <w:rPr>
          <w:rFonts w:ascii="Arial" w:eastAsiaTheme="minorHAnsi" w:hAnsi="Arial" w:cs="Arial"/>
          <w:sz w:val="22"/>
          <w:szCs w:val="22"/>
        </w:rPr>
        <w:t>393</w:t>
      </w:r>
      <w:r w:rsidRPr="00EB04D7">
        <w:rPr>
          <w:rFonts w:ascii="Arial" w:eastAsiaTheme="minorHAnsi" w:hAnsi="Arial" w:cs="Arial"/>
          <w:sz w:val="22"/>
          <w:szCs w:val="22"/>
        </w:rPr>
        <w:t xml:space="preserve"> in </w:t>
      </w:r>
      <w:r w:rsidR="00DE68E1">
        <w:rPr>
          <w:rFonts w:ascii="Arial" w:eastAsiaTheme="minorHAnsi" w:hAnsi="Arial" w:cs="Arial"/>
          <w:sz w:val="22"/>
          <w:szCs w:val="22"/>
        </w:rPr>
        <w:t>December 2022</w:t>
      </w:r>
    </w:p>
    <w:p w14:paraId="57BD3C25" w14:textId="00D5BC15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SNAP Issuances: SNAP Issuance in </w:t>
      </w:r>
      <w:r w:rsidR="00DE68E1">
        <w:rPr>
          <w:rFonts w:ascii="Arial" w:eastAsiaTheme="minorHAnsi" w:hAnsi="Arial" w:cs="Arial"/>
          <w:sz w:val="22"/>
          <w:szCs w:val="22"/>
        </w:rPr>
        <w:t>December 2022</w:t>
      </w:r>
      <w:r w:rsidRPr="00EB04D7">
        <w:rPr>
          <w:rFonts w:ascii="Arial" w:eastAsiaTheme="minorHAnsi" w:hAnsi="Arial" w:cs="Arial"/>
          <w:sz w:val="22"/>
          <w:szCs w:val="22"/>
        </w:rPr>
        <w:t xml:space="preserve"> was $</w:t>
      </w:r>
      <w:r w:rsidR="00DE68E1">
        <w:rPr>
          <w:rFonts w:ascii="Arial" w:eastAsiaTheme="minorHAnsi" w:hAnsi="Arial" w:cs="Arial"/>
          <w:sz w:val="22"/>
          <w:szCs w:val="22"/>
        </w:rPr>
        <w:t>303,605,629</w:t>
      </w:r>
      <w:r w:rsidRPr="00EB04D7">
        <w:rPr>
          <w:rFonts w:ascii="Arial" w:eastAsiaTheme="minorHAnsi" w:hAnsi="Arial" w:cs="Arial"/>
          <w:sz w:val="22"/>
          <w:szCs w:val="22"/>
        </w:rPr>
        <w:t>. Average issuance per family was $3</w:t>
      </w:r>
      <w:r w:rsidR="00DE68E1">
        <w:rPr>
          <w:rFonts w:ascii="Arial" w:eastAsiaTheme="minorHAnsi" w:hAnsi="Arial" w:cs="Arial"/>
          <w:sz w:val="22"/>
          <w:szCs w:val="22"/>
        </w:rPr>
        <w:t>80.</w:t>
      </w:r>
    </w:p>
    <w:p w14:paraId="11B93781" w14:textId="1903AF0C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SNAP Families: Total SNAP Families in </w:t>
      </w:r>
      <w:r w:rsidR="00DE68E1">
        <w:rPr>
          <w:rFonts w:ascii="Arial" w:eastAsiaTheme="minorHAnsi" w:hAnsi="Arial" w:cs="Arial"/>
          <w:sz w:val="22"/>
          <w:szCs w:val="22"/>
        </w:rPr>
        <w:t>December 2022</w:t>
      </w:r>
      <w:r w:rsidRPr="00EB04D7">
        <w:rPr>
          <w:rFonts w:ascii="Arial" w:eastAsiaTheme="minorHAnsi" w:hAnsi="Arial" w:cs="Arial"/>
          <w:sz w:val="22"/>
          <w:szCs w:val="22"/>
        </w:rPr>
        <w:t xml:space="preserve"> was </w:t>
      </w:r>
      <w:r w:rsidR="00DF1872">
        <w:rPr>
          <w:rFonts w:ascii="Arial" w:eastAsiaTheme="minorHAnsi" w:hAnsi="Arial" w:cs="Arial"/>
          <w:sz w:val="22"/>
          <w:szCs w:val="22"/>
        </w:rPr>
        <w:t>798,042.</w:t>
      </w:r>
    </w:p>
    <w:p w14:paraId="0992FE19" w14:textId="75365E1B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SNAP Applications and Renewals Processed: SNAP applications processed in </w:t>
      </w:r>
      <w:r w:rsidR="00DF1872">
        <w:rPr>
          <w:rFonts w:ascii="Arial" w:eastAsiaTheme="minorHAnsi" w:hAnsi="Arial" w:cs="Arial"/>
          <w:sz w:val="22"/>
          <w:szCs w:val="22"/>
        </w:rPr>
        <w:t>December 2022</w:t>
      </w:r>
      <w:r w:rsidRPr="00EB04D7">
        <w:rPr>
          <w:rFonts w:ascii="Arial" w:eastAsiaTheme="minorHAnsi" w:hAnsi="Arial" w:cs="Arial"/>
          <w:sz w:val="22"/>
          <w:szCs w:val="22"/>
        </w:rPr>
        <w:t xml:space="preserve"> was 6</w:t>
      </w:r>
      <w:r w:rsidR="00DF1872">
        <w:rPr>
          <w:rFonts w:ascii="Arial" w:eastAsiaTheme="minorHAnsi" w:hAnsi="Arial" w:cs="Arial"/>
          <w:sz w:val="22"/>
          <w:szCs w:val="22"/>
        </w:rPr>
        <w:t>4,058</w:t>
      </w:r>
      <w:r w:rsidRPr="00EB04D7">
        <w:rPr>
          <w:rFonts w:ascii="Arial" w:eastAsiaTheme="minorHAnsi" w:hAnsi="Arial" w:cs="Arial"/>
          <w:sz w:val="22"/>
          <w:szCs w:val="22"/>
        </w:rPr>
        <w:t xml:space="preserve"> and renewals processed was </w:t>
      </w:r>
      <w:r w:rsidR="00DF1872">
        <w:rPr>
          <w:rFonts w:ascii="Arial" w:eastAsiaTheme="minorHAnsi" w:hAnsi="Arial" w:cs="Arial"/>
          <w:sz w:val="22"/>
          <w:szCs w:val="22"/>
        </w:rPr>
        <w:t>70,156.</w:t>
      </w:r>
    </w:p>
    <w:p w14:paraId="672ABB54" w14:textId="2FBF4BC7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Active Medical Assistance Families: Active Medical Assistance families in </w:t>
      </w:r>
      <w:r w:rsidR="00DF1872">
        <w:rPr>
          <w:rFonts w:ascii="Arial" w:eastAsiaTheme="minorHAnsi" w:hAnsi="Arial" w:cs="Arial"/>
          <w:sz w:val="22"/>
          <w:szCs w:val="22"/>
        </w:rPr>
        <w:t xml:space="preserve">December 2022 </w:t>
      </w:r>
      <w:r w:rsidRPr="00EB04D7">
        <w:rPr>
          <w:rFonts w:ascii="Arial" w:eastAsiaTheme="minorHAnsi" w:hAnsi="Arial" w:cs="Arial"/>
          <w:sz w:val="22"/>
          <w:szCs w:val="22"/>
        </w:rPr>
        <w:t xml:space="preserve">was </w:t>
      </w:r>
      <w:r w:rsidR="00DF1872">
        <w:rPr>
          <w:rFonts w:ascii="Arial" w:eastAsiaTheme="minorHAnsi" w:hAnsi="Arial" w:cs="Arial"/>
          <w:sz w:val="22"/>
          <w:szCs w:val="22"/>
        </w:rPr>
        <w:t>1,139,088.</w:t>
      </w:r>
    </w:p>
    <w:p w14:paraId="6D6172D5" w14:textId="3C29B937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Total Medical Assistance Applications Processed: Total Medical Assistance Applications processed in </w:t>
      </w:r>
      <w:r w:rsidR="00DF1872">
        <w:rPr>
          <w:rFonts w:ascii="Arial" w:eastAsiaTheme="minorHAnsi" w:hAnsi="Arial" w:cs="Arial"/>
          <w:sz w:val="22"/>
          <w:szCs w:val="22"/>
        </w:rPr>
        <w:t>December</w:t>
      </w:r>
      <w:r w:rsidRPr="00EB04D7">
        <w:rPr>
          <w:rFonts w:ascii="Arial" w:eastAsiaTheme="minorHAnsi" w:hAnsi="Arial" w:cs="Arial"/>
          <w:sz w:val="22"/>
          <w:szCs w:val="22"/>
        </w:rPr>
        <w:t xml:space="preserve"> </w:t>
      </w:r>
      <w:r w:rsidR="00DF1872">
        <w:rPr>
          <w:rFonts w:ascii="Arial" w:eastAsiaTheme="minorHAnsi" w:hAnsi="Arial" w:cs="Arial"/>
          <w:sz w:val="22"/>
          <w:szCs w:val="22"/>
        </w:rPr>
        <w:t xml:space="preserve">2022 </w:t>
      </w:r>
      <w:r w:rsidRPr="00EB04D7">
        <w:rPr>
          <w:rFonts w:ascii="Arial" w:eastAsiaTheme="minorHAnsi" w:hAnsi="Arial" w:cs="Arial"/>
          <w:sz w:val="22"/>
          <w:szCs w:val="22"/>
        </w:rPr>
        <w:t xml:space="preserve">was </w:t>
      </w:r>
      <w:r w:rsidR="00DF1872">
        <w:rPr>
          <w:rFonts w:ascii="Arial" w:eastAsiaTheme="minorHAnsi" w:hAnsi="Arial" w:cs="Arial"/>
          <w:sz w:val="22"/>
          <w:szCs w:val="22"/>
        </w:rPr>
        <w:t>174,950.</w:t>
      </w:r>
    </w:p>
    <w:p w14:paraId="4E7F561B" w14:textId="2AD25912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TANF Issuance: TANF Issuance in </w:t>
      </w:r>
      <w:r w:rsidR="00DF1872">
        <w:rPr>
          <w:rFonts w:ascii="Arial" w:eastAsiaTheme="minorHAnsi" w:hAnsi="Arial" w:cs="Arial"/>
          <w:sz w:val="22"/>
          <w:szCs w:val="22"/>
        </w:rPr>
        <w:t xml:space="preserve">December 2022 </w:t>
      </w:r>
      <w:r w:rsidRPr="00EB04D7">
        <w:rPr>
          <w:rFonts w:ascii="Arial" w:eastAsiaTheme="minorHAnsi" w:hAnsi="Arial" w:cs="Arial"/>
          <w:sz w:val="22"/>
          <w:szCs w:val="22"/>
        </w:rPr>
        <w:t>was $1</w:t>
      </w:r>
      <w:r w:rsidR="00843528">
        <w:rPr>
          <w:rFonts w:ascii="Arial" w:eastAsiaTheme="minorHAnsi" w:hAnsi="Arial" w:cs="Arial"/>
          <w:sz w:val="22"/>
          <w:szCs w:val="22"/>
        </w:rPr>
        <w:t>,386,207</w:t>
      </w:r>
      <w:r w:rsidRPr="00EB04D7">
        <w:rPr>
          <w:rFonts w:ascii="Arial" w:eastAsiaTheme="minorHAnsi" w:hAnsi="Arial" w:cs="Arial"/>
          <w:sz w:val="22"/>
          <w:szCs w:val="22"/>
        </w:rPr>
        <w:t>. Average issuance per family was $2</w:t>
      </w:r>
      <w:r w:rsidR="00843528">
        <w:rPr>
          <w:rFonts w:ascii="Arial" w:eastAsiaTheme="minorHAnsi" w:hAnsi="Arial" w:cs="Arial"/>
          <w:sz w:val="22"/>
          <w:szCs w:val="22"/>
        </w:rPr>
        <w:t>59</w:t>
      </w:r>
      <w:r w:rsidRPr="00EB04D7">
        <w:rPr>
          <w:rFonts w:ascii="Arial" w:eastAsiaTheme="minorHAnsi" w:hAnsi="Arial" w:cs="Arial"/>
          <w:sz w:val="22"/>
          <w:szCs w:val="22"/>
        </w:rPr>
        <w:t>.</w:t>
      </w:r>
    </w:p>
    <w:p w14:paraId="0617260D" w14:textId="6B8C633E" w:rsidR="00213F23" w:rsidRPr="00EB04D7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TANF Work Mandatory vs Payee Only Cases: Total TANF Families in </w:t>
      </w:r>
      <w:r w:rsidR="00843528">
        <w:rPr>
          <w:rFonts w:ascii="Arial" w:eastAsiaTheme="minorHAnsi" w:hAnsi="Arial" w:cs="Arial"/>
          <w:sz w:val="22"/>
          <w:szCs w:val="22"/>
        </w:rPr>
        <w:t>Decembe</w:t>
      </w:r>
      <w:r w:rsidRPr="00EB04D7">
        <w:rPr>
          <w:rFonts w:ascii="Arial" w:eastAsiaTheme="minorHAnsi" w:hAnsi="Arial" w:cs="Arial"/>
          <w:sz w:val="22"/>
          <w:szCs w:val="22"/>
        </w:rPr>
        <w:t xml:space="preserve">r </w:t>
      </w:r>
      <w:r w:rsidR="00843528">
        <w:rPr>
          <w:rFonts w:ascii="Arial" w:eastAsiaTheme="minorHAnsi" w:hAnsi="Arial" w:cs="Arial"/>
          <w:sz w:val="22"/>
          <w:szCs w:val="22"/>
        </w:rPr>
        <w:t xml:space="preserve">2022 </w:t>
      </w:r>
      <w:r w:rsidRPr="00EB04D7">
        <w:rPr>
          <w:rFonts w:ascii="Arial" w:eastAsiaTheme="minorHAnsi" w:hAnsi="Arial" w:cs="Arial"/>
          <w:sz w:val="22"/>
          <w:szCs w:val="22"/>
        </w:rPr>
        <w:t>was</w:t>
      </w:r>
      <w:r w:rsidR="00843528">
        <w:rPr>
          <w:rFonts w:ascii="Arial" w:eastAsiaTheme="minorHAnsi" w:hAnsi="Arial" w:cs="Arial"/>
          <w:sz w:val="22"/>
          <w:szCs w:val="22"/>
        </w:rPr>
        <w:t xml:space="preserve"> </w:t>
      </w:r>
      <w:proofErr w:type="gramStart"/>
      <w:r w:rsidR="00843528">
        <w:rPr>
          <w:rFonts w:ascii="Arial" w:eastAsiaTheme="minorHAnsi" w:hAnsi="Arial" w:cs="Arial"/>
          <w:sz w:val="22"/>
          <w:szCs w:val="22"/>
        </w:rPr>
        <w:t>5,347</w:t>
      </w:r>
      <w:proofErr w:type="gramEnd"/>
    </w:p>
    <w:p w14:paraId="411B64D7" w14:textId="1154FC66" w:rsidR="00213F23" w:rsidRDefault="00213F23" w:rsidP="00213F23">
      <w:pPr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TANF Applications Approved and Denied: Total TANF Applications processed in October was </w:t>
      </w:r>
      <w:r w:rsidR="00B20C95">
        <w:rPr>
          <w:rFonts w:ascii="Arial" w:eastAsiaTheme="minorHAnsi" w:hAnsi="Arial" w:cs="Arial"/>
          <w:sz w:val="22"/>
          <w:szCs w:val="22"/>
        </w:rPr>
        <w:t>3,938.</w:t>
      </w:r>
    </w:p>
    <w:p w14:paraId="5F4857E3" w14:textId="77777777" w:rsidR="005F2A0F" w:rsidRDefault="005F2A0F" w:rsidP="005F2A0F">
      <w:pPr>
        <w:rPr>
          <w:rFonts w:ascii="Arial" w:eastAsiaTheme="minorHAnsi" w:hAnsi="Arial" w:cs="Arial"/>
          <w:sz w:val="22"/>
          <w:szCs w:val="22"/>
        </w:rPr>
      </w:pPr>
    </w:p>
    <w:p w14:paraId="794E7D04" w14:textId="317F7EBB" w:rsidR="005F2A0F" w:rsidRPr="00EB04D7" w:rsidRDefault="005F2A0F" w:rsidP="005F2A0F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Legislative</w:t>
      </w:r>
      <w:r w:rsidRPr="00EB04D7">
        <w:rPr>
          <w:rFonts w:ascii="Arial" w:eastAsiaTheme="minorHAnsi" w:hAnsi="Arial" w:cs="Arial"/>
          <w:sz w:val="22"/>
          <w:szCs w:val="22"/>
        </w:rPr>
        <w:t xml:space="preserve"> Update by </w:t>
      </w:r>
      <w:r>
        <w:rPr>
          <w:rFonts w:ascii="Arial" w:eastAsiaTheme="minorHAnsi" w:hAnsi="Arial" w:cs="Arial"/>
          <w:sz w:val="22"/>
          <w:szCs w:val="22"/>
        </w:rPr>
        <w:t>Chuck Stone, Legislative Liaison</w:t>
      </w:r>
    </w:p>
    <w:p w14:paraId="04638769" w14:textId="4F389E8C" w:rsidR="005F2A0F" w:rsidRDefault="00C76733" w:rsidP="00E82F3E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House Bill 129- Proposes to extend TANF benefits to pregnant </w:t>
      </w:r>
      <w:proofErr w:type="gramStart"/>
      <w:r>
        <w:rPr>
          <w:rFonts w:ascii="Arial" w:eastAsiaTheme="minorHAnsi" w:hAnsi="Arial" w:cs="Arial"/>
          <w:sz w:val="22"/>
          <w:szCs w:val="22"/>
        </w:rPr>
        <w:t>women</w:t>
      </w:r>
      <w:proofErr w:type="gramEnd"/>
    </w:p>
    <w:p w14:paraId="4A274A35" w14:textId="26D9C513" w:rsidR="00D4308D" w:rsidRDefault="00D4308D" w:rsidP="00E82F3E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Senate Bill 8- Proposes to create the “Commission for the Blind and Visually Impaired”</w:t>
      </w:r>
    </w:p>
    <w:p w14:paraId="0B6A3B81" w14:textId="65A0CE22" w:rsidR="00F342C1" w:rsidRDefault="00497F75" w:rsidP="00E82F3E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Senate Bill 64- Proposes to provide a copy of an original birth certificate to adults who were </w:t>
      </w:r>
      <w:proofErr w:type="gramStart"/>
      <w:r>
        <w:rPr>
          <w:rFonts w:ascii="Arial" w:eastAsiaTheme="minorHAnsi" w:hAnsi="Arial" w:cs="Arial"/>
          <w:sz w:val="22"/>
          <w:szCs w:val="22"/>
        </w:rPr>
        <w:t>adopted</w:t>
      </w:r>
      <w:proofErr w:type="gramEnd"/>
    </w:p>
    <w:p w14:paraId="6510E257" w14:textId="54512E59" w:rsidR="00497F75" w:rsidRDefault="002E615D" w:rsidP="00E82F3E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Senate Bill 84- Proposes to provide protections for elder and disabled adults who may be victims of financial </w:t>
      </w:r>
      <w:proofErr w:type="gramStart"/>
      <w:r>
        <w:rPr>
          <w:rFonts w:ascii="Arial" w:eastAsiaTheme="minorHAnsi" w:hAnsi="Arial" w:cs="Arial"/>
          <w:sz w:val="22"/>
          <w:szCs w:val="22"/>
        </w:rPr>
        <w:t>exploitation</w:t>
      </w:r>
      <w:proofErr w:type="gramEnd"/>
    </w:p>
    <w:p w14:paraId="624A89C1" w14:textId="2B89F5D5" w:rsidR="000622D9" w:rsidRDefault="000622D9" w:rsidP="000622D9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Senate Bill 131- Proposes to align the proper parties and notice formalities for permanent guardianships in Juvenile court</w:t>
      </w:r>
      <w:r w:rsidR="004E30A3">
        <w:rPr>
          <w:rFonts w:ascii="Arial" w:eastAsiaTheme="minorHAnsi" w:hAnsi="Arial" w:cs="Arial"/>
          <w:sz w:val="22"/>
          <w:szCs w:val="22"/>
        </w:rPr>
        <w:t xml:space="preserve"> with those provisions in TPR </w:t>
      </w:r>
      <w:proofErr w:type="gramStart"/>
      <w:r w:rsidR="004E30A3">
        <w:rPr>
          <w:rFonts w:ascii="Arial" w:eastAsiaTheme="minorHAnsi" w:hAnsi="Arial" w:cs="Arial"/>
          <w:sz w:val="22"/>
          <w:szCs w:val="22"/>
        </w:rPr>
        <w:t>proceedings</w:t>
      </w:r>
      <w:proofErr w:type="gramEnd"/>
    </w:p>
    <w:p w14:paraId="66A8BD4D" w14:textId="67AA4826" w:rsidR="004E30A3" w:rsidRDefault="004E30A3" w:rsidP="000622D9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Senate Bill 133- Proposes to establish a uniform process for DFCS to assume custody of children as a result of the Department of J</w:t>
      </w:r>
      <w:r w:rsidR="00BC31B9">
        <w:rPr>
          <w:rFonts w:ascii="Arial" w:eastAsiaTheme="minorHAnsi" w:hAnsi="Arial" w:cs="Arial"/>
          <w:sz w:val="22"/>
          <w:szCs w:val="22"/>
        </w:rPr>
        <w:t xml:space="preserve">uvenile </w:t>
      </w:r>
      <w:proofErr w:type="spellStart"/>
      <w:r w:rsidR="00BC31B9">
        <w:rPr>
          <w:rFonts w:ascii="Arial" w:eastAsiaTheme="minorHAnsi" w:hAnsi="Arial" w:cs="Arial"/>
          <w:sz w:val="22"/>
          <w:szCs w:val="22"/>
        </w:rPr>
        <w:t>Justicy</w:t>
      </w:r>
      <w:proofErr w:type="spellEnd"/>
      <w:r w:rsidR="00BC31B9">
        <w:rPr>
          <w:rFonts w:ascii="Arial" w:eastAsiaTheme="minorHAnsi" w:hAnsi="Arial" w:cs="Arial"/>
          <w:sz w:val="22"/>
          <w:szCs w:val="22"/>
        </w:rPr>
        <w:t xml:space="preserve"> delinquency disposition orders and CHINS hearings</w:t>
      </w:r>
    </w:p>
    <w:p w14:paraId="0A9ECDCC" w14:textId="534D1851" w:rsidR="00BC31B9" w:rsidRDefault="00BC31B9" w:rsidP="000622D9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Senate Bill 134- Proposes to add termination of parental rights proceedings to the types of actions in which a child is competent</w:t>
      </w:r>
      <w:r w:rsidR="004227C0">
        <w:rPr>
          <w:rFonts w:ascii="Arial" w:eastAsiaTheme="minorHAnsi" w:hAnsi="Arial" w:cs="Arial"/>
          <w:sz w:val="22"/>
          <w:szCs w:val="22"/>
        </w:rPr>
        <w:t xml:space="preserve"> to testify without the administration of a formal oath and authorizes the use of medical reports in narrative form in dependency and TPR proceedings.</w:t>
      </w:r>
    </w:p>
    <w:p w14:paraId="4FAAC8AC" w14:textId="13F96C80" w:rsidR="004227C0" w:rsidRDefault="004227C0" w:rsidP="000622D9">
      <w:pPr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Senate Bill 135- Proposes to establish standards for the admissibility and authenticity of records so that court-ordered genetic testing may be utilized in the petition for legitimation of a child in Georgia and other civil actions</w:t>
      </w:r>
    </w:p>
    <w:p w14:paraId="1B34552C" w14:textId="77F2FF3E" w:rsidR="009601D6" w:rsidRDefault="009601D6" w:rsidP="009601D6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lastRenderedPageBreak/>
        <w:t>Amended FY 2023 and FY 2024 Budget Report</w:t>
      </w:r>
      <w:r w:rsidRPr="00EB04D7">
        <w:rPr>
          <w:rFonts w:ascii="Arial" w:eastAsiaTheme="minorHAnsi" w:hAnsi="Arial" w:cs="Arial"/>
          <w:sz w:val="22"/>
          <w:szCs w:val="22"/>
        </w:rPr>
        <w:t xml:space="preserve"> by </w:t>
      </w:r>
      <w:r>
        <w:rPr>
          <w:rFonts w:ascii="Arial" w:eastAsiaTheme="minorHAnsi" w:hAnsi="Arial" w:cs="Arial"/>
          <w:sz w:val="22"/>
          <w:szCs w:val="22"/>
        </w:rPr>
        <w:t>Demetrius Taylor, Deputy Commissioner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2542"/>
        <w:gridCol w:w="2525"/>
      </w:tblGrid>
      <w:tr w:rsidR="00B24165" w:rsidRPr="00B24165" w14:paraId="791A5800" w14:textId="77777777" w:rsidTr="00B24165">
        <w:trPr>
          <w:trHeight w:val="824"/>
        </w:trPr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hideMark/>
          </w:tcPr>
          <w:p w14:paraId="690F4B18" w14:textId="77777777" w:rsidR="00B24165" w:rsidRPr="00B24165" w:rsidRDefault="00B24165" w:rsidP="00B2416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​</w:t>
            </w:r>
          </w:p>
        </w:tc>
        <w:tc>
          <w:tcPr>
            <w:tcW w:w="2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17BBA"/>
            <w:hideMark/>
          </w:tcPr>
          <w:p w14:paraId="0AC0C20C" w14:textId="77777777" w:rsidR="00B24165" w:rsidRPr="00B24165" w:rsidRDefault="00B24165" w:rsidP="00B2416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b/>
                <w:bCs/>
                <w:sz w:val="22"/>
                <w:szCs w:val="22"/>
                <w:u w:val="single"/>
              </w:rPr>
              <w:t>AFY 2023</w:t>
            </w:r>
            <w:r w:rsidRPr="00B2416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​</w:t>
            </w:r>
          </w:p>
        </w:tc>
        <w:tc>
          <w:tcPr>
            <w:tcW w:w="2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17BBA"/>
            <w:hideMark/>
          </w:tcPr>
          <w:p w14:paraId="1FE0F02C" w14:textId="77777777" w:rsidR="00B24165" w:rsidRPr="00B24165" w:rsidRDefault="00B24165" w:rsidP="00B2416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b/>
                <w:bCs/>
                <w:sz w:val="22"/>
                <w:szCs w:val="22"/>
                <w:u w:val="single"/>
              </w:rPr>
              <w:t>FY 2024</w:t>
            </w:r>
            <w:r w:rsidRPr="00B2416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​</w:t>
            </w:r>
          </w:p>
          <w:p w14:paraId="136A891A" w14:textId="77777777" w:rsidR="00B24165" w:rsidRPr="00B24165" w:rsidRDefault="00B24165" w:rsidP="00B24165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​</w:t>
            </w:r>
          </w:p>
        </w:tc>
      </w:tr>
      <w:tr w:rsidR="00B24165" w:rsidRPr="00B24165" w14:paraId="50C8FB1A" w14:textId="77777777" w:rsidTr="00B24165">
        <w:trPr>
          <w:trHeight w:val="892"/>
        </w:trPr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D8FC7"/>
            <w:hideMark/>
          </w:tcPr>
          <w:p w14:paraId="02AEE2A1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Current Budget (State </w:t>
            </w:r>
            <w:proofErr w:type="gramStart"/>
            <w:r w:rsidRPr="00B2416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Funds)  </w:t>
            </w: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​</w:t>
            </w:r>
            <w:proofErr w:type="gramEnd"/>
          </w:p>
        </w:tc>
        <w:tc>
          <w:tcPr>
            <w:tcW w:w="2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D8FC7"/>
            <w:hideMark/>
          </w:tcPr>
          <w:p w14:paraId="0A38D9E3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$920,040,060 </w:t>
            </w: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​</w:t>
            </w:r>
          </w:p>
        </w:tc>
        <w:tc>
          <w:tcPr>
            <w:tcW w:w="2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D8FC7"/>
            <w:hideMark/>
          </w:tcPr>
          <w:p w14:paraId="420B9110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 $920,040,060 </w:t>
            </w: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​</w:t>
            </w:r>
          </w:p>
        </w:tc>
      </w:tr>
      <w:tr w:rsidR="00B24165" w:rsidRPr="00B24165" w14:paraId="29265943" w14:textId="77777777" w:rsidTr="00B24165">
        <w:trPr>
          <w:trHeight w:val="606"/>
        </w:trPr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hideMark/>
          </w:tcPr>
          <w:p w14:paraId="4955FF5E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Statewide Adjustments (Common Changes) ​</w:t>
            </w:r>
          </w:p>
        </w:tc>
        <w:tc>
          <w:tcPr>
            <w:tcW w:w="2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hideMark/>
          </w:tcPr>
          <w:p w14:paraId="03329AB6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   -                      ​</w:t>
            </w:r>
          </w:p>
        </w:tc>
        <w:tc>
          <w:tcPr>
            <w:tcW w:w="2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hideMark/>
          </w:tcPr>
          <w:p w14:paraId="4765D843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   $20,908,058              ​</w:t>
            </w:r>
          </w:p>
        </w:tc>
      </w:tr>
      <w:tr w:rsidR="00B24165" w:rsidRPr="00B24165" w14:paraId="067F711D" w14:textId="77777777" w:rsidTr="00B24165">
        <w:trPr>
          <w:trHeight w:val="606"/>
        </w:trPr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hideMark/>
          </w:tcPr>
          <w:p w14:paraId="3F3B1E6E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Workload Adjustments ​</w:t>
            </w:r>
          </w:p>
        </w:tc>
        <w:tc>
          <w:tcPr>
            <w:tcW w:w="2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hideMark/>
          </w:tcPr>
          <w:p w14:paraId="5A0B398D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   $8,527,789           ​</w:t>
            </w:r>
          </w:p>
        </w:tc>
        <w:tc>
          <w:tcPr>
            <w:tcW w:w="2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hideMark/>
          </w:tcPr>
          <w:p w14:paraId="7BABBD05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  $6,874,428              ​</w:t>
            </w:r>
          </w:p>
        </w:tc>
      </w:tr>
      <w:tr w:rsidR="00B24165" w:rsidRPr="00B24165" w14:paraId="1BE13AE9" w14:textId="77777777" w:rsidTr="00B24165">
        <w:trPr>
          <w:trHeight w:val="606"/>
        </w:trPr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hideMark/>
          </w:tcPr>
          <w:p w14:paraId="62232898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Other Adjustments ​</w:t>
            </w:r>
          </w:p>
        </w:tc>
        <w:tc>
          <w:tcPr>
            <w:tcW w:w="2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hideMark/>
          </w:tcPr>
          <w:p w14:paraId="79D93EDC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   -             ​</w:t>
            </w:r>
          </w:p>
        </w:tc>
        <w:tc>
          <w:tcPr>
            <w:tcW w:w="2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hideMark/>
          </w:tcPr>
          <w:p w14:paraId="1E4D707D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-                ​</w:t>
            </w:r>
          </w:p>
        </w:tc>
      </w:tr>
      <w:tr w:rsidR="00B24165" w:rsidRPr="00B24165" w14:paraId="3B667F08" w14:textId="77777777" w:rsidTr="00B24165">
        <w:trPr>
          <w:trHeight w:val="606"/>
        </w:trPr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hideMark/>
          </w:tcPr>
          <w:p w14:paraId="2A9DCBC5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Total Adjustments ​</w:t>
            </w:r>
          </w:p>
        </w:tc>
        <w:tc>
          <w:tcPr>
            <w:tcW w:w="2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hideMark/>
          </w:tcPr>
          <w:p w14:paraId="029F1737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   $8,527,789               ​</w:t>
            </w:r>
          </w:p>
        </w:tc>
        <w:tc>
          <w:tcPr>
            <w:tcW w:w="2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hideMark/>
          </w:tcPr>
          <w:p w14:paraId="2C4A59DF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    $27,782,486​</w:t>
            </w:r>
          </w:p>
        </w:tc>
      </w:tr>
      <w:tr w:rsidR="00B24165" w:rsidRPr="00B24165" w14:paraId="5461319A" w14:textId="77777777" w:rsidTr="00B24165">
        <w:trPr>
          <w:trHeight w:val="606"/>
        </w:trPr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D8FC7"/>
            <w:hideMark/>
          </w:tcPr>
          <w:p w14:paraId="6624172B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Governor’s Recommended Budget</w:t>
            </w: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​</w:t>
            </w:r>
          </w:p>
          <w:p w14:paraId="1199AE7B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(Includes Attached Entities)​</w:t>
            </w:r>
          </w:p>
        </w:tc>
        <w:tc>
          <w:tcPr>
            <w:tcW w:w="2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D8FC7"/>
            <w:vAlign w:val="center"/>
            <w:hideMark/>
          </w:tcPr>
          <w:p w14:paraId="4FC760B3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 $928,567,849</w:t>
            </w: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​</w:t>
            </w:r>
          </w:p>
        </w:tc>
        <w:tc>
          <w:tcPr>
            <w:tcW w:w="2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D8FC7"/>
            <w:vAlign w:val="center"/>
            <w:hideMark/>
          </w:tcPr>
          <w:p w14:paraId="2ED59FD3" w14:textId="77777777" w:rsidR="00B24165" w:rsidRPr="00B24165" w:rsidRDefault="00B24165" w:rsidP="00B2416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B24165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  $947,822,546 </w:t>
            </w:r>
            <w:r w:rsidRPr="00B24165">
              <w:rPr>
                <w:rFonts w:ascii="Arial" w:eastAsiaTheme="minorHAnsi" w:hAnsi="Arial" w:cs="Arial"/>
                <w:sz w:val="22"/>
                <w:szCs w:val="22"/>
              </w:rPr>
              <w:t>​</w:t>
            </w:r>
          </w:p>
        </w:tc>
      </w:tr>
    </w:tbl>
    <w:p w14:paraId="4036D9DF" w14:textId="367FD030" w:rsidR="00B24165" w:rsidRDefault="00B24165" w:rsidP="009601D6">
      <w:pPr>
        <w:rPr>
          <w:rFonts w:ascii="Arial" w:eastAsiaTheme="minorHAnsi" w:hAnsi="Arial" w:cs="Arial"/>
          <w:sz w:val="22"/>
          <w:szCs w:val="22"/>
        </w:rPr>
      </w:pPr>
    </w:p>
    <w:p w14:paraId="3EF4E69B" w14:textId="4461670F" w:rsidR="00B24165" w:rsidRPr="00E82F3E" w:rsidRDefault="00BF1D0E" w:rsidP="00B24165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County Board Annual Reports </w:t>
      </w:r>
      <w:r w:rsidR="00B24165" w:rsidRPr="00EB04D7">
        <w:rPr>
          <w:rFonts w:ascii="Arial" w:eastAsiaTheme="minorHAnsi" w:hAnsi="Arial" w:cs="Arial"/>
          <w:sz w:val="22"/>
          <w:szCs w:val="22"/>
        </w:rPr>
        <w:t xml:space="preserve">Presentation by </w:t>
      </w:r>
      <w:r>
        <w:rPr>
          <w:rFonts w:ascii="Arial" w:eastAsiaTheme="minorHAnsi" w:hAnsi="Arial" w:cs="Arial"/>
          <w:sz w:val="22"/>
          <w:szCs w:val="22"/>
        </w:rPr>
        <w:t>Emma McCullough</w:t>
      </w:r>
      <w:r w:rsidR="00B24165" w:rsidRPr="00EB04D7">
        <w:rPr>
          <w:rFonts w:ascii="Arial" w:eastAsiaTheme="minorHAnsi" w:hAnsi="Arial" w:cs="Arial"/>
          <w:sz w:val="22"/>
          <w:szCs w:val="22"/>
        </w:rPr>
        <w:t xml:space="preserve">, Deputy </w:t>
      </w:r>
      <w:r>
        <w:rPr>
          <w:rFonts w:ascii="Arial" w:eastAsiaTheme="minorHAnsi" w:hAnsi="Arial" w:cs="Arial"/>
          <w:sz w:val="22"/>
          <w:szCs w:val="22"/>
        </w:rPr>
        <w:t>Director of Governmental Affairs</w:t>
      </w:r>
    </w:p>
    <w:p w14:paraId="543FAF7C" w14:textId="1F0B4D08" w:rsidR="00B24165" w:rsidRDefault="00154B18" w:rsidP="00B24165">
      <w:pPr>
        <w:pStyle w:val="ListParagraph"/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Assessment of Effectiveness</w:t>
      </w:r>
    </w:p>
    <w:p w14:paraId="61567676" w14:textId="22B59A7F" w:rsidR="00154B18" w:rsidRPr="00154B18" w:rsidRDefault="00154B18" w:rsidP="00154B18">
      <w:pPr>
        <w:pStyle w:val="ListParagraph"/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154B18">
        <w:rPr>
          <w:rFonts w:ascii="Arial" w:eastAsiaTheme="minorHAnsi" w:hAnsi="Arial" w:cs="Arial"/>
          <w:sz w:val="22"/>
          <w:szCs w:val="22"/>
        </w:rPr>
        <w:t>Community partnerships and communication with stakeholders​</w:t>
      </w:r>
    </w:p>
    <w:p w14:paraId="2A961907" w14:textId="21DC2BAA" w:rsidR="00154B18" w:rsidRPr="00154B18" w:rsidRDefault="00154B18" w:rsidP="00154B18">
      <w:pPr>
        <w:pStyle w:val="ListParagraph"/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154B18">
        <w:rPr>
          <w:rFonts w:ascii="Arial" w:eastAsiaTheme="minorHAnsi" w:hAnsi="Arial" w:cs="Arial"/>
          <w:sz w:val="22"/>
          <w:szCs w:val="22"/>
        </w:rPr>
        <w:t>Utilization of both in-person and virtual service to clients​</w:t>
      </w:r>
    </w:p>
    <w:p w14:paraId="0F96EDEC" w14:textId="74869F12" w:rsidR="00154B18" w:rsidRDefault="00154B18" w:rsidP="00154B18">
      <w:pPr>
        <w:pStyle w:val="ListParagraph"/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154B18">
        <w:rPr>
          <w:rFonts w:ascii="Arial" w:eastAsiaTheme="minorHAnsi" w:hAnsi="Arial" w:cs="Arial"/>
          <w:sz w:val="22"/>
          <w:szCs w:val="22"/>
        </w:rPr>
        <w:t xml:space="preserve">Boost in employee </w:t>
      </w:r>
      <w:proofErr w:type="gramStart"/>
      <w:r w:rsidRPr="00154B18">
        <w:rPr>
          <w:rFonts w:ascii="Arial" w:eastAsiaTheme="minorHAnsi" w:hAnsi="Arial" w:cs="Arial"/>
          <w:sz w:val="22"/>
          <w:szCs w:val="22"/>
        </w:rPr>
        <w:t>morale​</w:t>
      </w:r>
      <w:proofErr w:type="gramEnd"/>
    </w:p>
    <w:p w14:paraId="6B916E05" w14:textId="72F10FB1" w:rsidR="00586185" w:rsidRDefault="00586185" w:rsidP="00586185">
      <w:pPr>
        <w:pStyle w:val="ListParagraph"/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Needs for Improvement</w:t>
      </w:r>
    </w:p>
    <w:p w14:paraId="487C390F" w14:textId="38B14131" w:rsidR="00586185" w:rsidRPr="00586185" w:rsidRDefault="00586185" w:rsidP="00586185">
      <w:pPr>
        <w:pStyle w:val="ListParagraph"/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586185">
        <w:rPr>
          <w:rFonts w:ascii="Arial" w:eastAsiaTheme="minorHAnsi" w:hAnsi="Arial" w:cs="Arial"/>
          <w:sz w:val="22"/>
          <w:szCs w:val="22"/>
        </w:rPr>
        <w:t>Community resources and services​</w:t>
      </w:r>
    </w:p>
    <w:p w14:paraId="49965BEE" w14:textId="4903D2FA" w:rsidR="00586185" w:rsidRPr="00586185" w:rsidRDefault="00586185" w:rsidP="00586185">
      <w:pPr>
        <w:pStyle w:val="ListParagraph"/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586185">
        <w:rPr>
          <w:rFonts w:ascii="Arial" w:eastAsiaTheme="minorHAnsi" w:hAnsi="Arial" w:cs="Arial"/>
          <w:sz w:val="22"/>
          <w:szCs w:val="22"/>
        </w:rPr>
        <w:t>Foster homes and local recruitment​</w:t>
      </w:r>
    </w:p>
    <w:p w14:paraId="24F3F562" w14:textId="32C1A992" w:rsidR="00586185" w:rsidRDefault="00586185" w:rsidP="00586185">
      <w:pPr>
        <w:pStyle w:val="ListParagraph"/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586185">
        <w:rPr>
          <w:rFonts w:ascii="Arial" w:eastAsiaTheme="minorHAnsi" w:hAnsi="Arial" w:cs="Arial"/>
          <w:sz w:val="22"/>
          <w:szCs w:val="22"/>
        </w:rPr>
        <w:t>Staff recruitment and retention​</w:t>
      </w:r>
    </w:p>
    <w:p w14:paraId="4A931D55" w14:textId="7B447043" w:rsidR="00586185" w:rsidRDefault="00586185" w:rsidP="00586185">
      <w:pPr>
        <w:pStyle w:val="ListParagraph"/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Board Recommendations</w:t>
      </w:r>
    </w:p>
    <w:p w14:paraId="2E9044B5" w14:textId="40156728" w:rsidR="007C0B0B" w:rsidRPr="007C0B0B" w:rsidRDefault="007C0B0B" w:rsidP="007C0B0B">
      <w:pPr>
        <w:pStyle w:val="ListParagraph"/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T</w:t>
      </w:r>
      <w:r w:rsidRPr="007C0B0B">
        <w:rPr>
          <w:rFonts w:ascii="Arial" w:eastAsiaTheme="minorHAnsi" w:hAnsi="Arial" w:cs="Arial"/>
          <w:sz w:val="22"/>
          <w:szCs w:val="22"/>
        </w:rPr>
        <w:t xml:space="preserve">argeted recruitment and focus on retention of </w:t>
      </w:r>
      <w:proofErr w:type="gramStart"/>
      <w:r w:rsidRPr="007C0B0B">
        <w:rPr>
          <w:rFonts w:ascii="Arial" w:eastAsiaTheme="minorHAnsi" w:hAnsi="Arial" w:cs="Arial"/>
          <w:sz w:val="22"/>
          <w:szCs w:val="22"/>
        </w:rPr>
        <w:t>staff​</w:t>
      </w:r>
      <w:proofErr w:type="gramEnd"/>
    </w:p>
    <w:p w14:paraId="218E9027" w14:textId="65B99F04" w:rsidR="007C0B0B" w:rsidRPr="007C0B0B" w:rsidRDefault="007C0B0B" w:rsidP="007C0B0B">
      <w:pPr>
        <w:pStyle w:val="ListParagraph"/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7C0B0B">
        <w:rPr>
          <w:rFonts w:ascii="Arial" w:eastAsiaTheme="minorHAnsi" w:hAnsi="Arial" w:cs="Arial"/>
          <w:sz w:val="22"/>
          <w:szCs w:val="22"/>
        </w:rPr>
        <w:t xml:space="preserve">Identify and recruit foster </w:t>
      </w:r>
      <w:proofErr w:type="gramStart"/>
      <w:r w:rsidRPr="007C0B0B">
        <w:rPr>
          <w:rFonts w:ascii="Arial" w:eastAsiaTheme="minorHAnsi" w:hAnsi="Arial" w:cs="Arial"/>
          <w:sz w:val="22"/>
          <w:szCs w:val="22"/>
        </w:rPr>
        <w:t>homes​</w:t>
      </w:r>
      <w:proofErr w:type="gramEnd"/>
    </w:p>
    <w:p w14:paraId="056266D2" w14:textId="63A7FF9A" w:rsidR="007C0B0B" w:rsidRPr="007C0B0B" w:rsidRDefault="007C0B0B" w:rsidP="007C0B0B">
      <w:pPr>
        <w:pStyle w:val="ListParagraph"/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7C0B0B">
        <w:rPr>
          <w:rFonts w:ascii="Arial" w:eastAsiaTheme="minorHAnsi" w:hAnsi="Arial" w:cs="Arial"/>
          <w:sz w:val="22"/>
          <w:szCs w:val="22"/>
        </w:rPr>
        <w:t>Lobby maintenance and security​</w:t>
      </w:r>
    </w:p>
    <w:p w14:paraId="38FF9E7C" w14:textId="4FA07A6F" w:rsidR="00207442" w:rsidRPr="00207442" w:rsidRDefault="007C0B0B" w:rsidP="00207442">
      <w:pPr>
        <w:pStyle w:val="ListParagraph"/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7C0B0B">
        <w:rPr>
          <w:rFonts w:ascii="Arial" w:eastAsiaTheme="minorHAnsi" w:hAnsi="Arial" w:cs="Arial"/>
          <w:sz w:val="22"/>
          <w:szCs w:val="22"/>
        </w:rPr>
        <w:t>Education on DFCS program areas​</w:t>
      </w:r>
    </w:p>
    <w:p w14:paraId="6062877E" w14:textId="77777777" w:rsidR="00B24165" w:rsidRPr="00EB04D7" w:rsidRDefault="00B24165" w:rsidP="009601D6">
      <w:pPr>
        <w:rPr>
          <w:rFonts w:ascii="Arial" w:eastAsiaTheme="minorHAnsi" w:hAnsi="Arial" w:cs="Arial"/>
          <w:sz w:val="22"/>
          <w:szCs w:val="22"/>
        </w:rPr>
      </w:pPr>
    </w:p>
    <w:p w14:paraId="52F854B6" w14:textId="77777777" w:rsidR="00213F23" w:rsidRPr="00EB7DC9" w:rsidRDefault="00213F23" w:rsidP="009E3630">
      <w:pPr>
        <w:ind w:left="1440"/>
        <w:rPr>
          <w:rFonts w:ascii="Arial" w:eastAsiaTheme="minorHAnsi" w:hAnsi="Arial" w:cs="Arial"/>
          <w:sz w:val="22"/>
          <w:szCs w:val="22"/>
        </w:rPr>
      </w:pPr>
    </w:p>
    <w:p w14:paraId="60F84A99" w14:textId="150A1882" w:rsidR="00E82F3E" w:rsidRPr="00E82F3E" w:rsidRDefault="00213F23" w:rsidP="00E82F3E">
      <w:p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DHS Rule Change Presentation Given to DHS Board by Pamela Carr Cosby, Deputy General Counsel</w:t>
      </w:r>
    </w:p>
    <w:p w14:paraId="431CE392" w14:textId="77777777" w:rsidR="00E82F3E" w:rsidRDefault="00213F23" w:rsidP="00E82F3E">
      <w:pPr>
        <w:pStyle w:val="ListParagraph"/>
        <w:numPr>
          <w:ilvl w:val="1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82F3E">
        <w:rPr>
          <w:rFonts w:ascii="Arial" w:eastAsiaTheme="minorHAnsi" w:hAnsi="Arial" w:cs="Arial"/>
          <w:sz w:val="22"/>
          <w:szCs w:val="22"/>
        </w:rPr>
        <w:t>Rule change procedure</w:t>
      </w:r>
    </w:p>
    <w:p w14:paraId="268D5D64" w14:textId="77777777" w:rsidR="00E82F3E" w:rsidRDefault="00213F23" w:rsidP="00E82F3E">
      <w:pPr>
        <w:pStyle w:val="ListParagraph"/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82F3E">
        <w:rPr>
          <w:rFonts w:ascii="Arial" w:eastAsiaTheme="minorHAnsi" w:hAnsi="Arial" w:cs="Arial"/>
          <w:sz w:val="22"/>
          <w:szCs w:val="22"/>
        </w:rPr>
        <w:t xml:space="preserve">Board considers motion to public proposed </w:t>
      </w:r>
      <w:proofErr w:type="gramStart"/>
      <w:r w:rsidRPr="00E82F3E">
        <w:rPr>
          <w:rFonts w:ascii="Arial" w:eastAsiaTheme="minorHAnsi" w:hAnsi="Arial" w:cs="Arial"/>
          <w:sz w:val="22"/>
          <w:szCs w:val="22"/>
        </w:rPr>
        <w:t>rul</w:t>
      </w:r>
      <w:r w:rsidR="00E82F3E">
        <w:rPr>
          <w:rFonts w:ascii="Arial" w:eastAsiaTheme="minorHAnsi" w:hAnsi="Arial" w:cs="Arial"/>
          <w:sz w:val="22"/>
          <w:szCs w:val="22"/>
        </w:rPr>
        <w:t>e</w:t>
      </w:r>
      <w:proofErr w:type="gramEnd"/>
    </w:p>
    <w:p w14:paraId="40E26866" w14:textId="49C1B018" w:rsidR="00213F23" w:rsidRPr="00E82F3E" w:rsidRDefault="00213F23" w:rsidP="00E82F3E">
      <w:pPr>
        <w:pStyle w:val="ListParagraph"/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E82F3E">
        <w:rPr>
          <w:rFonts w:ascii="Arial" w:eastAsiaTheme="minorHAnsi" w:hAnsi="Arial" w:cs="Arial"/>
          <w:sz w:val="22"/>
          <w:szCs w:val="22"/>
        </w:rPr>
        <w:t>30-Day public comment period</w:t>
      </w:r>
    </w:p>
    <w:p w14:paraId="48CBF1A3" w14:textId="77777777" w:rsidR="00213F23" w:rsidRPr="00853F0A" w:rsidRDefault="00213F23" w:rsidP="00853F0A">
      <w:pPr>
        <w:pStyle w:val="ListParagraph"/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853F0A">
        <w:rPr>
          <w:rFonts w:ascii="Arial" w:eastAsiaTheme="minorHAnsi" w:hAnsi="Arial" w:cs="Arial"/>
          <w:sz w:val="22"/>
          <w:szCs w:val="22"/>
        </w:rPr>
        <w:t>Public hearing</w:t>
      </w:r>
    </w:p>
    <w:p w14:paraId="5301D939" w14:textId="77777777" w:rsidR="00213F23" w:rsidRPr="00853F0A" w:rsidRDefault="00213F23" w:rsidP="00853F0A">
      <w:pPr>
        <w:pStyle w:val="ListParagraph"/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853F0A">
        <w:rPr>
          <w:rFonts w:ascii="Arial" w:eastAsiaTheme="minorHAnsi" w:hAnsi="Arial" w:cs="Arial"/>
          <w:sz w:val="22"/>
          <w:szCs w:val="22"/>
        </w:rPr>
        <w:lastRenderedPageBreak/>
        <w:t>Motion for final adoption of proposed rule</w:t>
      </w:r>
    </w:p>
    <w:p w14:paraId="08F745D7" w14:textId="3A4B5734" w:rsidR="00213F23" w:rsidRDefault="00213F23" w:rsidP="00853F0A">
      <w:pPr>
        <w:pStyle w:val="ListParagraph"/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853F0A">
        <w:rPr>
          <w:rFonts w:ascii="Arial" w:eastAsiaTheme="minorHAnsi" w:hAnsi="Arial" w:cs="Arial"/>
          <w:sz w:val="22"/>
          <w:szCs w:val="22"/>
        </w:rPr>
        <w:t>Send final rule to Secretary of State</w:t>
      </w:r>
    </w:p>
    <w:p w14:paraId="775D2C8C" w14:textId="77777777" w:rsidR="00EB7DAD" w:rsidRPr="00EB7DAD" w:rsidRDefault="00EB7DAD" w:rsidP="00EB7DAD">
      <w:pPr>
        <w:ind w:left="1800"/>
        <w:rPr>
          <w:rFonts w:ascii="Arial" w:eastAsiaTheme="minorHAnsi" w:hAnsi="Arial" w:cs="Arial"/>
          <w:sz w:val="22"/>
          <w:szCs w:val="22"/>
        </w:rPr>
      </w:pPr>
    </w:p>
    <w:p w14:paraId="0442E05D" w14:textId="77777777" w:rsidR="00207442" w:rsidRDefault="00853F0A" w:rsidP="00207442">
      <w:pPr>
        <w:pStyle w:val="ListParagraph"/>
        <w:numPr>
          <w:ilvl w:val="2"/>
          <w:numId w:val="2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I</w:t>
      </w:r>
      <w:r w:rsidR="00213F23" w:rsidRPr="00853F0A">
        <w:rPr>
          <w:rFonts w:ascii="Arial" w:eastAsiaTheme="minorHAnsi" w:hAnsi="Arial" w:cs="Arial"/>
          <w:sz w:val="22"/>
          <w:szCs w:val="22"/>
        </w:rPr>
        <w:t>nitial Approval – Child Placing Agencies</w:t>
      </w:r>
    </w:p>
    <w:p w14:paraId="14A60D9B" w14:textId="77777777" w:rsidR="00207442" w:rsidRPr="00207442" w:rsidRDefault="00207442" w:rsidP="00207442">
      <w:pPr>
        <w:pStyle w:val="ListParagraph"/>
        <w:rPr>
          <w:rFonts w:ascii="Arial" w:eastAsiaTheme="minorHAnsi" w:hAnsi="Arial" w:cs="Arial"/>
          <w:sz w:val="22"/>
          <w:szCs w:val="22"/>
        </w:rPr>
      </w:pPr>
    </w:p>
    <w:p w14:paraId="6635996B" w14:textId="77777777" w:rsidR="00207442" w:rsidRDefault="00213F23" w:rsidP="00207442">
      <w:pPr>
        <w:pStyle w:val="ListParagraph"/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207442">
        <w:rPr>
          <w:rFonts w:ascii="Arial" w:eastAsiaTheme="minorHAnsi" w:hAnsi="Arial" w:cs="Arial"/>
          <w:sz w:val="22"/>
          <w:szCs w:val="22"/>
        </w:rPr>
        <w:t>Rule published December 5 – January 4</w:t>
      </w:r>
    </w:p>
    <w:p w14:paraId="113DAA69" w14:textId="56BE865E" w:rsidR="002B48B9" w:rsidRPr="00207442" w:rsidRDefault="00213F23" w:rsidP="00207442">
      <w:pPr>
        <w:pStyle w:val="ListParagraph"/>
        <w:numPr>
          <w:ilvl w:val="3"/>
          <w:numId w:val="2"/>
        </w:numPr>
        <w:rPr>
          <w:rFonts w:ascii="Arial" w:eastAsiaTheme="minorHAnsi" w:hAnsi="Arial" w:cs="Arial"/>
          <w:sz w:val="22"/>
          <w:szCs w:val="22"/>
        </w:rPr>
      </w:pPr>
      <w:r w:rsidRPr="00207442">
        <w:rPr>
          <w:rFonts w:ascii="Arial" w:eastAsiaTheme="minorHAnsi" w:hAnsi="Arial" w:cs="Arial"/>
          <w:sz w:val="22"/>
          <w:szCs w:val="22"/>
        </w:rPr>
        <w:t xml:space="preserve">Public Hearing January 4 </w:t>
      </w:r>
    </w:p>
    <w:p w14:paraId="40DB9683" w14:textId="69E66654" w:rsidR="00213F23" w:rsidRDefault="00213F23" w:rsidP="00C71CC2">
      <w:pPr>
        <w:pStyle w:val="ListParagraph"/>
        <w:numPr>
          <w:ilvl w:val="0"/>
          <w:numId w:val="8"/>
        </w:numPr>
        <w:rPr>
          <w:rFonts w:ascii="Arial" w:eastAsiaTheme="minorHAnsi" w:hAnsi="Arial" w:cs="Arial"/>
          <w:sz w:val="22"/>
          <w:szCs w:val="22"/>
        </w:rPr>
      </w:pPr>
      <w:r w:rsidRPr="002B48B9">
        <w:rPr>
          <w:rFonts w:ascii="Arial" w:eastAsiaTheme="minorHAnsi" w:hAnsi="Arial" w:cs="Arial"/>
          <w:sz w:val="22"/>
          <w:szCs w:val="22"/>
        </w:rPr>
        <w:t>Request to Board</w:t>
      </w:r>
    </w:p>
    <w:p w14:paraId="46F08F70" w14:textId="6059E440" w:rsidR="00C71CC2" w:rsidRPr="002B48B9" w:rsidRDefault="00C71CC2" w:rsidP="00207442">
      <w:pPr>
        <w:pStyle w:val="ListParagraph"/>
        <w:numPr>
          <w:ilvl w:val="1"/>
          <w:numId w:val="9"/>
        </w:num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Rules and Regulations for Child Placing Agencies Rules 290-2-9-.01</w:t>
      </w:r>
      <w:r w:rsidR="00207442">
        <w:rPr>
          <w:rFonts w:ascii="Arial" w:eastAsiaTheme="minorHAnsi" w:hAnsi="Arial" w:cs="Arial"/>
          <w:sz w:val="22"/>
          <w:szCs w:val="22"/>
        </w:rPr>
        <w:t>,.04,.07</w:t>
      </w:r>
    </w:p>
    <w:p w14:paraId="39C08040" w14:textId="77777777" w:rsidR="00213F23" w:rsidRPr="00EB04D7" w:rsidRDefault="00213F23" w:rsidP="00213F23">
      <w:pPr>
        <w:ind w:left="720"/>
        <w:rPr>
          <w:rFonts w:ascii="Arial" w:eastAsiaTheme="minorHAnsi" w:hAnsi="Arial" w:cs="Arial"/>
          <w:sz w:val="22"/>
          <w:szCs w:val="22"/>
        </w:rPr>
      </w:pPr>
    </w:p>
    <w:p w14:paraId="0054E60B" w14:textId="77777777" w:rsidR="00213F23" w:rsidRPr="00EB04D7" w:rsidRDefault="00213F23" w:rsidP="00213F23">
      <w:pPr>
        <w:rPr>
          <w:rFonts w:ascii="Arial" w:eastAsiaTheme="minorHAnsi" w:hAnsi="Arial" w:cs="Arial"/>
          <w:sz w:val="22"/>
          <w:szCs w:val="22"/>
        </w:rPr>
      </w:pPr>
    </w:p>
    <w:p w14:paraId="5945DCD3" w14:textId="17C44F2E" w:rsidR="00213F23" w:rsidRPr="00EB04D7" w:rsidRDefault="00213F23" w:rsidP="00213F23">
      <w:p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Meeting Called to Order at </w:t>
      </w:r>
      <w:r w:rsidR="00C4396C">
        <w:rPr>
          <w:rFonts w:ascii="Arial" w:eastAsiaTheme="minorHAnsi" w:hAnsi="Arial" w:cs="Arial"/>
          <w:sz w:val="22"/>
          <w:szCs w:val="22"/>
        </w:rPr>
        <w:t>3:</w:t>
      </w:r>
      <w:r w:rsidR="00F36DE5">
        <w:rPr>
          <w:rFonts w:ascii="Arial" w:eastAsiaTheme="minorHAnsi" w:hAnsi="Arial" w:cs="Arial"/>
          <w:sz w:val="22"/>
          <w:szCs w:val="22"/>
        </w:rPr>
        <w:t>41</w:t>
      </w:r>
      <w:r w:rsidRPr="00EB04D7">
        <w:rPr>
          <w:rFonts w:ascii="Arial" w:eastAsiaTheme="minorHAnsi" w:hAnsi="Arial" w:cs="Arial"/>
          <w:sz w:val="22"/>
          <w:szCs w:val="22"/>
        </w:rPr>
        <w:t xml:space="preserve"> p.m.</w:t>
      </w:r>
    </w:p>
    <w:p w14:paraId="683563F7" w14:textId="77777777" w:rsidR="00213F23" w:rsidRPr="00EB04D7" w:rsidRDefault="00213F23" w:rsidP="00213F23">
      <w:pPr>
        <w:rPr>
          <w:rFonts w:ascii="Arial" w:eastAsiaTheme="minorHAnsi" w:hAnsi="Arial" w:cs="Arial"/>
          <w:sz w:val="22"/>
          <w:szCs w:val="22"/>
        </w:rPr>
      </w:pPr>
    </w:p>
    <w:p w14:paraId="6348E859" w14:textId="77777777" w:rsidR="00213F23" w:rsidRPr="00EB04D7" w:rsidRDefault="00213F23" w:rsidP="00213F23">
      <w:p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DHS Board Business and Action Items</w:t>
      </w:r>
    </w:p>
    <w:p w14:paraId="7F069491" w14:textId="77777777" w:rsidR="00213F23" w:rsidRPr="00EB04D7" w:rsidRDefault="00213F23" w:rsidP="00213F23">
      <w:pPr>
        <w:rPr>
          <w:rFonts w:ascii="Arial" w:eastAsiaTheme="minorHAnsi" w:hAnsi="Arial" w:cs="Arial"/>
          <w:sz w:val="22"/>
          <w:szCs w:val="22"/>
        </w:rPr>
      </w:pPr>
    </w:p>
    <w:p w14:paraId="3A7E70A4" w14:textId="77777777" w:rsidR="00213F23" w:rsidRPr="00EB04D7" w:rsidRDefault="00213F23" w:rsidP="00213F23">
      <w:pPr>
        <w:rPr>
          <w:rFonts w:ascii="Arial" w:eastAsiaTheme="minorHAnsi" w:hAnsi="Arial" w:cs="Arial"/>
          <w:sz w:val="22"/>
          <w:szCs w:val="22"/>
        </w:rPr>
      </w:pPr>
    </w:p>
    <w:p w14:paraId="1FB4280F" w14:textId="77777777" w:rsidR="00213F23" w:rsidRPr="00EB04D7" w:rsidRDefault="00213F23" w:rsidP="00213F23">
      <w:pPr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DFCS Advisory Board Business and Action Items</w:t>
      </w:r>
    </w:p>
    <w:p w14:paraId="5D71912D" w14:textId="77777777" w:rsidR="00213F23" w:rsidRPr="00EB04D7" w:rsidRDefault="00213F23" w:rsidP="00213F23">
      <w:pPr>
        <w:ind w:left="2880"/>
        <w:rPr>
          <w:rFonts w:ascii="Arial" w:eastAsiaTheme="minorHAnsi" w:hAnsi="Arial" w:cs="Arial"/>
          <w:sz w:val="22"/>
          <w:szCs w:val="22"/>
        </w:rPr>
      </w:pPr>
    </w:p>
    <w:p w14:paraId="68DB615C" w14:textId="7659ABA6" w:rsidR="00213F23" w:rsidRDefault="00213F23" w:rsidP="00213F23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Motion for approval of </w:t>
      </w:r>
      <w:r w:rsidR="00551FDA">
        <w:rPr>
          <w:rFonts w:ascii="Arial" w:eastAsiaTheme="minorHAnsi" w:hAnsi="Arial" w:cs="Arial"/>
          <w:sz w:val="22"/>
          <w:szCs w:val="22"/>
        </w:rPr>
        <w:t>December 1st</w:t>
      </w:r>
      <w:r w:rsidRPr="00EB04D7">
        <w:rPr>
          <w:rFonts w:ascii="Arial" w:eastAsiaTheme="minorHAnsi" w:hAnsi="Arial" w:cs="Arial"/>
          <w:sz w:val="22"/>
          <w:szCs w:val="22"/>
        </w:rPr>
        <w:t xml:space="preserve"> Advisory Board Meeting Minutes. Moved by </w:t>
      </w:r>
      <w:r w:rsidR="003E3FB3">
        <w:rPr>
          <w:rFonts w:ascii="Arial" w:eastAsiaTheme="minorHAnsi" w:hAnsi="Arial" w:cs="Arial"/>
          <w:sz w:val="22"/>
          <w:szCs w:val="22"/>
        </w:rPr>
        <w:t xml:space="preserve">Deke Copenhaver </w:t>
      </w:r>
      <w:r w:rsidRPr="00EB04D7">
        <w:rPr>
          <w:rFonts w:ascii="Arial" w:eastAsiaTheme="minorHAnsi" w:hAnsi="Arial" w:cs="Arial"/>
          <w:sz w:val="22"/>
          <w:szCs w:val="22"/>
        </w:rPr>
        <w:t>and seconded by</w:t>
      </w:r>
      <w:r w:rsidR="003E3FB3">
        <w:rPr>
          <w:rFonts w:ascii="Arial" w:eastAsiaTheme="minorHAnsi" w:hAnsi="Arial" w:cs="Arial"/>
          <w:sz w:val="22"/>
          <w:szCs w:val="22"/>
        </w:rPr>
        <w:t xml:space="preserve"> Nancy White</w:t>
      </w:r>
      <w:r w:rsidRPr="00EB04D7">
        <w:rPr>
          <w:rFonts w:ascii="Arial" w:eastAsiaTheme="minorHAnsi" w:hAnsi="Arial" w:cs="Arial"/>
          <w:sz w:val="22"/>
          <w:szCs w:val="22"/>
        </w:rPr>
        <w:t>. All in favor. Approved.</w:t>
      </w:r>
    </w:p>
    <w:p w14:paraId="0D63F234" w14:textId="2EB72020" w:rsidR="00551FDA" w:rsidRPr="00EB04D7" w:rsidRDefault="00551FDA" w:rsidP="00213F23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Meeting Dates set: May 17, </w:t>
      </w:r>
      <w:proofErr w:type="gramStart"/>
      <w:r>
        <w:rPr>
          <w:rFonts w:ascii="Arial" w:eastAsiaTheme="minorHAnsi" w:hAnsi="Arial" w:cs="Arial"/>
          <w:sz w:val="22"/>
          <w:szCs w:val="22"/>
        </w:rPr>
        <w:t>2022</w:t>
      </w:r>
      <w:proofErr w:type="gramEnd"/>
      <w:r>
        <w:rPr>
          <w:rFonts w:ascii="Arial" w:eastAsiaTheme="minorHAnsi" w:hAnsi="Arial" w:cs="Arial"/>
          <w:sz w:val="22"/>
          <w:szCs w:val="22"/>
        </w:rPr>
        <w:t xml:space="preserve"> and July 18, 2022</w:t>
      </w:r>
    </w:p>
    <w:p w14:paraId="4332E37C" w14:textId="21F1A746" w:rsidR="00213F23" w:rsidRPr="00EB04D7" w:rsidRDefault="00551FDA" w:rsidP="00213F23">
      <w:pPr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Bylaw Amendment Proposals tabled until the May </w:t>
      </w:r>
      <w:proofErr w:type="gramStart"/>
      <w:r>
        <w:rPr>
          <w:rFonts w:ascii="Arial" w:eastAsiaTheme="minorHAnsi" w:hAnsi="Arial" w:cs="Arial"/>
          <w:sz w:val="22"/>
          <w:szCs w:val="22"/>
        </w:rPr>
        <w:t>meeting</w:t>
      </w:r>
      <w:proofErr w:type="gramEnd"/>
    </w:p>
    <w:p w14:paraId="124DD674" w14:textId="77777777" w:rsidR="00213F23" w:rsidRPr="00EB04D7" w:rsidRDefault="00213F23" w:rsidP="00213F23">
      <w:p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Advisory Board Member Regional Reports</w:t>
      </w:r>
    </w:p>
    <w:p w14:paraId="4F28E1C7" w14:textId="55AA2CE9" w:rsidR="00213F23" w:rsidRPr="001C11A7" w:rsidRDefault="00213F23" w:rsidP="001C11A7">
      <w:pPr>
        <w:spacing w:after="120"/>
        <w:rPr>
          <w:rFonts w:ascii="Arial" w:eastAsiaTheme="minorHAnsi" w:hAnsi="Arial" w:cs="Arial"/>
          <w:sz w:val="22"/>
          <w:szCs w:val="22"/>
        </w:rPr>
      </w:pPr>
    </w:p>
    <w:p w14:paraId="1CF716EA" w14:textId="7FDA105C" w:rsidR="005B00A9" w:rsidRPr="005B00A9" w:rsidRDefault="00213F23" w:rsidP="005B00A9">
      <w:pPr>
        <w:pStyle w:val="ListParagraph"/>
        <w:numPr>
          <w:ilvl w:val="0"/>
          <w:numId w:val="3"/>
        </w:numPr>
        <w:spacing w:after="120"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R3</w:t>
      </w:r>
      <w:r w:rsidR="001C11A7">
        <w:rPr>
          <w:rFonts w:ascii="Arial" w:eastAsiaTheme="minorHAnsi" w:hAnsi="Arial" w:cs="Arial"/>
          <w:sz w:val="22"/>
          <w:szCs w:val="22"/>
        </w:rPr>
        <w:t xml:space="preserve"> </w:t>
      </w:r>
      <w:r w:rsidRPr="00EB04D7">
        <w:rPr>
          <w:rFonts w:ascii="Arial" w:eastAsiaTheme="minorHAnsi" w:hAnsi="Arial" w:cs="Arial"/>
          <w:sz w:val="22"/>
          <w:szCs w:val="22"/>
        </w:rPr>
        <w:t xml:space="preserve">– </w:t>
      </w:r>
      <w:r w:rsidR="00D4625D">
        <w:rPr>
          <w:rFonts w:ascii="Arial" w:eastAsiaTheme="minorHAnsi" w:hAnsi="Arial" w:cs="Arial"/>
          <w:sz w:val="22"/>
          <w:szCs w:val="22"/>
        </w:rPr>
        <w:t xml:space="preserve">Working on plans for </w:t>
      </w:r>
      <w:r w:rsidR="005B00A9">
        <w:rPr>
          <w:rFonts w:ascii="Arial" w:eastAsiaTheme="minorHAnsi" w:hAnsi="Arial" w:cs="Arial"/>
          <w:sz w:val="22"/>
          <w:szCs w:val="22"/>
        </w:rPr>
        <w:t>National Social Work Month, challenging times with Board of Commissioners</w:t>
      </w:r>
    </w:p>
    <w:p w14:paraId="03FC8745" w14:textId="270E6D39" w:rsidR="00213F23" w:rsidRDefault="00213F23" w:rsidP="00213F23">
      <w:pPr>
        <w:numPr>
          <w:ilvl w:val="0"/>
          <w:numId w:val="2"/>
        </w:numPr>
        <w:spacing w:after="120"/>
        <w:contextualSpacing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R5 – </w:t>
      </w:r>
      <w:r w:rsidR="00DC3A50">
        <w:rPr>
          <w:rFonts w:ascii="Arial" w:eastAsiaTheme="minorHAnsi" w:hAnsi="Arial" w:cs="Arial"/>
          <w:sz w:val="22"/>
          <w:szCs w:val="22"/>
        </w:rPr>
        <w:t xml:space="preserve">Care Portal activated in Region, </w:t>
      </w:r>
      <w:r w:rsidR="00854AAD">
        <w:rPr>
          <w:rFonts w:ascii="Arial" w:eastAsiaTheme="minorHAnsi" w:hAnsi="Arial" w:cs="Arial"/>
          <w:sz w:val="22"/>
          <w:szCs w:val="22"/>
        </w:rPr>
        <w:t xml:space="preserve">problems with hiring of personnel in region, </w:t>
      </w:r>
      <w:r w:rsidR="00D51DF3">
        <w:rPr>
          <w:rFonts w:ascii="Arial" w:eastAsiaTheme="minorHAnsi" w:hAnsi="Arial" w:cs="Arial"/>
          <w:sz w:val="22"/>
          <w:szCs w:val="22"/>
        </w:rPr>
        <w:t>affordable housing and evictions problems since pandemic</w:t>
      </w:r>
    </w:p>
    <w:p w14:paraId="6F80EABD" w14:textId="5975BE43" w:rsidR="00B7279B" w:rsidRDefault="00B7279B" w:rsidP="00213F23">
      <w:pPr>
        <w:numPr>
          <w:ilvl w:val="0"/>
          <w:numId w:val="2"/>
        </w:numPr>
        <w:spacing w:after="12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R6- All case managers have </w:t>
      </w:r>
      <w:proofErr w:type="spellStart"/>
      <w:r>
        <w:rPr>
          <w:rFonts w:ascii="Arial" w:eastAsiaTheme="minorHAnsi" w:hAnsi="Arial" w:cs="Arial"/>
          <w:sz w:val="22"/>
          <w:szCs w:val="22"/>
        </w:rPr>
        <w:t>mCASE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and have been trained, </w:t>
      </w:r>
      <w:r w:rsidR="003C1D11">
        <w:rPr>
          <w:rFonts w:ascii="Arial" w:eastAsiaTheme="minorHAnsi" w:hAnsi="Arial" w:cs="Arial"/>
          <w:sz w:val="22"/>
          <w:szCs w:val="22"/>
        </w:rPr>
        <w:t>Houston County director retired, R6 adoption team completed 7</w:t>
      </w:r>
      <w:r w:rsidR="00893D14">
        <w:rPr>
          <w:rFonts w:ascii="Arial" w:eastAsiaTheme="minorHAnsi" w:hAnsi="Arial" w:cs="Arial"/>
          <w:sz w:val="22"/>
          <w:szCs w:val="22"/>
        </w:rPr>
        <w:t>1</w:t>
      </w:r>
      <w:r w:rsidR="003C1D11">
        <w:rPr>
          <w:rFonts w:ascii="Arial" w:eastAsiaTheme="minorHAnsi" w:hAnsi="Arial" w:cs="Arial"/>
          <w:sz w:val="22"/>
          <w:szCs w:val="22"/>
        </w:rPr>
        <w:t xml:space="preserve"> </w:t>
      </w:r>
      <w:r w:rsidR="00893D14">
        <w:rPr>
          <w:rFonts w:ascii="Arial" w:eastAsiaTheme="minorHAnsi" w:hAnsi="Arial" w:cs="Arial"/>
          <w:sz w:val="22"/>
          <w:szCs w:val="22"/>
        </w:rPr>
        <w:t>adoptions in the past year</w:t>
      </w:r>
    </w:p>
    <w:p w14:paraId="1510FAAB" w14:textId="179536D4" w:rsidR="00893D14" w:rsidRPr="00320ECF" w:rsidRDefault="00893D14" w:rsidP="00320ECF">
      <w:pPr>
        <w:numPr>
          <w:ilvl w:val="0"/>
          <w:numId w:val="2"/>
        </w:numPr>
        <w:spacing w:after="12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R7- </w:t>
      </w:r>
      <w:r w:rsidR="00320ECF" w:rsidRPr="00320ECF">
        <w:rPr>
          <w:rFonts w:ascii="Arial" w:eastAsiaTheme="minorHAnsi" w:hAnsi="Arial" w:cs="Arial"/>
          <w:sz w:val="22"/>
          <w:szCs w:val="22"/>
        </w:rPr>
        <w:t>OFI began</w:t>
      </w:r>
      <w:r w:rsidR="00320ECF">
        <w:rPr>
          <w:rFonts w:ascii="Arial" w:eastAsiaTheme="minorHAnsi" w:hAnsi="Arial" w:cs="Arial"/>
          <w:sz w:val="22"/>
          <w:szCs w:val="22"/>
        </w:rPr>
        <w:t xml:space="preserve"> </w:t>
      </w:r>
      <w:r w:rsidR="00320ECF" w:rsidRPr="00320ECF">
        <w:rPr>
          <w:rFonts w:ascii="Arial" w:eastAsiaTheme="minorHAnsi" w:hAnsi="Arial" w:cs="Arial"/>
          <w:sz w:val="22"/>
          <w:szCs w:val="22"/>
        </w:rPr>
        <w:t>opening office lobbies on a staggered schedule</w:t>
      </w:r>
      <w:r w:rsidR="00320ECF">
        <w:rPr>
          <w:rFonts w:ascii="Arial" w:eastAsiaTheme="minorHAnsi" w:hAnsi="Arial" w:cs="Arial"/>
          <w:sz w:val="22"/>
          <w:szCs w:val="22"/>
        </w:rPr>
        <w:t>,</w:t>
      </w:r>
      <w:r w:rsidR="00754EF3">
        <w:rPr>
          <w:rFonts w:ascii="Arial" w:eastAsiaTheme="minorHAnsi" w:hAnsi="Arial" w:cs="Arial"/>
          <w:sz w:val="22"/>
          <w:szCs w:val="22"/>
        </w:rPr>
        <w:t xml:space="preserve"> </w:t>
      </w:r>
      <w:r w:rsidR="00754EF3" w:rsidRPr="00754EF3">
        <w:rPr>
          <w:rFonts w:ascii="Arial" w:eastAsiaTheme="minorHAnsi" w:hAnsi="Arial" w:cs="Arial"/>
          <w:sz w:val="22"/>
          <w:szCs w:val="22"/>
        </w:rPr>
        <w:t>Region 7 staff</w:t>
      </w:r>
      <w:r w:rsidR="00754EF3">
        <w:rPr>
          <w:rFonts w:ascii="Arial" w:eastAsiaTheme="minorHAnsi" w:hAnsi="Arial" w:cs="Arial"/>
          <w:sz w:val="22"/>
          <w:szCs w:val="22"/>
        </w:rPr>
        <w:t xml:space="preserve"> were </w:t>
      </w:r>
      <w:r w:rsidR="00754EF3" w:rsidRPr="00754EF3">
        <w:rPr>
          <w:rFonts w:ascii="Arial" w:eastAsiaTheme="minorHAnsi" w:hAnsi="Arial" w:cs="Arial"/>
          <w:sz w:val="22"/>
          <w:szCs w:val="22"/>
        </w:rPr>
        <w:t>scheduled to receive their equipment</w:t>
      </w:r>
      <w:r w:rsidR="00754EF3">
        <w:rPr>
          <w:rFonts w:ascii="Arial" w:eastAsiaTheme="minorHAnsi" w:hAnsi="Arial" w:cs="Arial"/>
          <w:sz w:val="22"/>
          <w:szCs w:val="22"/>
        </w:rPr>
        <w:t xml:space="preserve"> for </w:t>
      </w:r>
      <w:proofErr w:type="spellStart"/>
      <w:r w:rsidR="00754EF3">
        <w:rPr>
          <w:rFonts w:ascii="Arial" w:eastAsiaTheme="minorHAnsi" w:hAnsi="Arial" w:cs="Arial"/>
          <w:sz w:val="22"/>
          <w:szCs w:val="22"/>
        </w:rPr>
        <w:t>mCASE</w:t>
      </w:r>
      <w:proofErr w:type="spellEnd"/>
      <w:r w:rsidR="00754EF3">
        <w:rPr>
          <w:rFonts w:ascii="Arial" w:eastAsiaTheme="minorHAnsi" w:hAnsi="Arial" w:cs="Arial"/>
          <w:sz w:val="22"/>
          <w:szCs w:val="22"/>
        </w:rPr>
        <w:t xml:space="preserve"> in December</w:t>
      </w:r>
      <w:r w:rsidR="002F740A">
        <w:rPr>
          <w:rFonts w:ascii="Arial" w:eastAsiaTheme="minorHAnsi" w:hAnsi="Arial" w:cs="Arial"/>
          <w:sz w:val="22"/>
          <w:szCs w:val="22"/>
        </w:rPr>
        <w:t xml:space="preserve">, Promise 686 and </w:t>
      </w:r>
      <w:proofErr w:type="spellStart"/>
      <w:r w:rsidR="002F740A">
        <w:rPr>
          <w:rFonts w:ascii="Arial" w:eastAsiaTheme="minorHAnsi" w:hAnsi="Arial" w:cs="Arial"/>
          <w:sz w:val="22"/>
          <w:szCs w:val="22"/>
        </w:rPr>
        <w:t>Win</w:t>
      </w:r>
      <w:r w:rsidR="007962A0">
        <w:rPr>
          <w:rFonts w:ascii="Arial" w:eastAsiaTheme="minorHAnsi" w:hAnsi="Arial" w:cs="Arial"/>
          <w:sz w:val="22"/>
          <w:szCs w:val="22"/>
        </w:rPr>
        <w:t>S</w:t>
      </w:r>
      <w:r w:rsidR="002F740A">
        <w:rPr>
          <w:rFonts w:ascii="Arial" w:eastAsiaTheme="minorHAnsi" w:hAnsi="Arial" w:cs="Arial"/>
          <w:sz w:val="22"/>
          <w:szCs w:val="22"/>
        </w:rPr>
        <w:t>hape</w:t>
      </w:r>
      <w:proofErr w:type="spellEnd"/>
      <w:r w:rsidR="002F740A">
        <w:rPr>
          <w:rFonts w:ascii="Arial" w:eastAsiaTheme="minorHAnsi" w:hAnsi="Arial" w:cs="Arial"/>
          <w:sz w:val="22"/>
          <w:szCs w:val="22"/>
        </w:rPr>
        <w:t xml:space="preserve"> homes partnered with Chick-fil-a to give all social services staff a $20 gift card</w:t>
      </w:r>
    </w:p>
    <w:p w14:paraId="09DE042A" w14:textId="35022922" w:rsidR="00213F23" w:rsidRPr="00EB04D7" w:rsidRDefault="00213F23" w:rsidP="00213F23">
      <w:pPr>
        <w:numPr>
          <w:ilvl w:val="0"/>
          <w:numId w:val="2"/>
        </w:numPr>
        <w:spacing w:after="120"/>
        <w:contextualSpacing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R8 – </w:t>
      </w:r>
      <w:r w:rsidR="00B13493">
        <w:rPr>
          <w:rFonts w:ascii="Arial" w:eastAsiaTheme="minorHAnsi" w:hAnsi="Arial" w:cs="Arial"/>
          <w:sz w:val="22"/>
          <w:szCs w:val="22"/>
        </w:rPr>
        <w:t xml:space="preserve">Partnership with Department of Public Health </w:t>
      </w:r>
      <w:r w:rsidR="00DE427E">
        <w:rPr>
          <w:rFonts w:ascii="Arial" w:eastAsiaTheme="minorHAnsi" w:hAnsi="Arial" w:cs="Arial"/>
          <w:sz w:val="22"/>
          <w:szCs w:val="22"/>
        </w:rPr>
        <w:t xml:space="preserve">to expand home visiting </w:t>
      </w:r>
      <w:proofErr w:type="gramStart"/>
      <w:r w:rsidR="00DE427E">
        <w:rPr>
          <w:rFonts w:ascii="Arial" w:eastAsiaTheme="minorHAnsi" w:hAnsi="Arial" w:cs="Arial"/>
          <w:sz w:val="22"/>
          <w:szCs w:val="22"/>
        </w:rPr>
        <w:t>services</w:t>
      </w:r>
      <w:proofErr w:type="gramEnd"/>
      <w:r w:rsidR="00DE427E">
        <w:rPr>
          <w:rFonts w:ascii="Arial" w:eastAsiaTheme="minorHAnsi" w:hAnsi="Arial" w:cs="Arial"/>
          <w:sz w:val="22"/>
          <w:szCs w:val="22"/>
        </w:rPr>
        <w:t xml:space="preserve"> </w:t>
      </w:r>
    </w:p>
    <w:p w14:paraId="2552652C" w14:textId="6243159A" w:rsidR="00213F23" w:rsidRPr="00EB04D7" w:rsidRDefault="00213F23" w:rsidP="00213F23">
      <w:pPr>
        <w:numPr>
          <w:ilvl w:val="0"/>
          <w:numId w:val="2"/>
        </w:numPr>
        <w:spacing w:after="120"/>
        <w:contextualSpacing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R9 – </w:t>
      </w:r>
      <w:r w:rsidR="007962A0">
        <w:rPr>
          <w:rFonts w:ascii="Arial" w:eastAsiaTheme="minorHAnsi" w:hAnsi="Arial" w:cs="Arial"/>
          <w:sz w:val="22"/>
          <w:szCs w:val="22"/>
        </w:rPr>
        <w:t xml:space="preserve">All offices are using </w:t>
      </w:r>
      <w:proofErr w:type="spellStart"/>
      <w:r w:rsidR="007962A0">
        <w:rPr>
          <w:rFonts w:ascii="Arial" w:eastAsiaTheme="minorHAnsi" w:hAnsi="Arial" w:cs="Arial"/>
          <w:sz w:val="22"/>
          <w:szCs w:val="22"/>
        </w:rPr>
        <w:t>mCASE</w:t>
      </w:r>
      <w:proofErr w:type="spellEnd"/>
      <w:r w:rsidR="007962A0">
        <w:rPr>
          <w:rFonts w:ascii="Arial" w:eastAsiaTheme="minorHAnsi" w:hAnsi="Arial" w:cs="Arial"/>
          <w:sz w:val="22"/>
          <w:szCs w:val="22"/>
        </w:rPr>
        <w:t>, hiring for new director in Laurens County</w:t>
      </w:r>
    </w:p>
    <w:p w14:paraId="50C09046" w14:textId="28F66910" w:rsidR="00213F23" w:rsidRDefault="00213F23" w:rsidP="00213F23">
      <w:pPr>
        <w:numPr>
          <w:ilvl w:val="0"/>
          <w:numId w:val="2"/>
        </w:numPr>
        <w:spacing w:after="120"/>
        <w:contextualSpacing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R11 – </w:t>
      </w:r>
      <w:r w:rsidR="00D04598">
        <w:rPr>
          <w:rFonts w:ascii="Arial" w:eastAsiaTheme="minorHAnsi" w:hAnsi="Arial" w:cs="Arial"/>
          <w:sz w:val="22"/>
          <w:szCs w:val="22"/>
        </w:rPr>
        <w:t>Improvements with hoteling, mentoring with Called to Care and other community partners</w:t>
      </w:r>
    </w:p>
    <w:p w14:paraId="102964E1" w14:textId="69AF3DAD" w:rsidR="004C2B52" w:rsidRPr="00EB04D7" w:rsidRDefault="004C2B52" w:rsidP="00213F23">
      <w:pPr>
        <w:numPr>
          <w:ilvl w:val="0"/>
          <w:numId w:val="2"/>
        </w:numPr>
        <w:spacing w:after="12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R12 </w:t>
      </w:r>
      <w:r w:rsidRPr="00EB04D7">
        <w:rPr>
          <w:rFonts w:ascii="Arial" w:eastAsiaTheme="minorHAnsi" w:hAnsi="Arial" w:cs="Arial"/>
          <w:sz w:val="22"/>
          <w:szCs w:val="22"/>
        </w:rPr>
        <w:t>–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A613EF">
        <w:rPr>
          <w:rFonts w:ascii="Arial" w:eastAsiaTheme="minorHAnsi" w:hAnsi="Arial" w:cs="Arial"/>
          <w:sz w:val="22"/>
          <w:szCs w:val="22"/>
        </w:rPr>
        <w:t xml:space="preserve">Issue of supervision in hoteling, new county directors on board, community partnerships </w:t>
      </w:r>
      <w:r w:rsidR="00100D86">
        <w:rPr>
          <w:rFonts w:ascii="Arial" w:eastAsiaTheme="minorHAnsi" w:hAnsi="Arial" w:cs="Arial"/>
          <w:sz w:val="22"/>
          <w:szCs w:val="22"/>
        </w:rPr>
        <w:t>and hope for continued collaboration</w:t>
      </w:r>
    </w:p>
    <w:p w14:paraId="066BA493" w14:textId="65412012" w:rsidR="00213F23" w:rsidRPr="00EB04D7" w:rsidRDefault="00213F23" w:rsidP="00213F23">
      <w:pPr>
        <w:numPr>
          <w:ilvl w:val="0"/>
          <w:numId w:val="2"/>
        </w:numPr>
        <w:spacing w:after="120"/>
        <w:contextualSpacing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lastRenderedPageBreak/>
        <w:t xml:space="preserve">R13 – </w:t>
      </w:r>
      <w:r w:rsidR="00123715">
        <w:rPr>
          <w:rFonts w:ascii="Arial" w:eastAsiaTheme="minorHAnsi" w:hAnsi="Arial" w:cs="Arial"/>
          <w:sz w:val="22"/>
          <w:szCs w:val="22"/>
        </w:rPr>
        <w:t xml:space="preserve">Cobb County DFCS is in a new building, </w:t>
      </w:r>
      <w:r w:rsidR="000304DF">
        <w:rPr>
          <w:rFonts w:ascii="Arial" w:eastAsiaTheme="minorHAnsi" w:hAnsi="Arial" w:cs="Arial"/>
          <w:sz w:val="22"/>
          <w:szCs w:val="22"/>
        </w:rPr>
        <w:t xml:space="preserve">salary is a reason why staff is leaving according to exit interviews, </w:t>
      </w:r>
      <w:r w:rsidR="00257D71">
        <w:rPr>
          <w:rFonts w:ascii="Arial" w:eastAsiaTheme="minorHAnsi" w:hAnsi="Arial" w:cs="Arial"/>
          <w:sz w:val="22"/>
          <w:szCs w:val="22"/>
        </w:rPr>
        <w:t>After-hours unit in Gwinnett and Clayton be re-engaged</w:t>
      </w:r>
    </w:p>
    <w:p w14:paraId="341920A6" w14:textId="77777777" w:rsidR="00213F23" w:rsidRPr="00EB04D7" w:rsidRDefault="00213F23" w:rsidP="00213F23">
      <w:pPr>
        <w:spacing w:after="160"/>
        <w:contextualSpacing/>
        <w:rPr>
          <w:rFonts w:ascii="Arial" w:eastAsiaTheme="minorHAnsi" w:hAnsi="Arial" w:cs="Arial"/>
          <w:sz w:val="22"/>
          <w:szCs w:val="22"/>
        </w:rPr>
      </w:pPr>
    </w:p>
    <w:p w14:paraId="430657BF" w14:textId="77777777" w:rsidR="00213F23" w:rsidRPr="00EB04D7" w:rsidRDefault="00213F23" w:rsidP="00213F23">
      <w:pPr>
        <w:spacing w:after="160"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Advisory Board Committee Reports</w:t>
      </w:r>
    </w:p>
    <w:p w14:paraId="3AAEDFD6" w14:textId="08C12D7D" w:rsidR="00213F23" w:rsidRPr="00257D71" w:rsidRDefault="00213F23" w:rsidP="00C01EAC">
      <w:pPr>
        <w:pStyle w:val="ListParagraph"/>
        <w:numPr>
          <w:ilvl w:val="0"/>
          <w:numId w:val="2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257D71">
        <w:rPr>
          <w:rFonts w:ascii="Arial" w:eastAsiaTheme="minorHAnsi" w:hAnsi="Arial" w:cs="Arial"/>
          <w:sz w:val="22"/>
          <w:szCs w:val="22"/>
        </w:rPr>
        <w:t xml:space="preserve">Regional Trends Committee- </w:t>
      </w:r>
      <w:r w:rsidR="00723C13">
        <w:rPr>
          <w:rFonts w:ascii="Arial" w:eastAsiaTheme="minorHAnsi" w:hAnsi="Arial" w:cs="Arial"/>
          <w:sz w:val="22"/>
          <w:szCs w:val="22"/>
        </w:rPr>
        <w:t xml:space="preserve">Discussion on hoteling: Recommendation </w:t>
      </w:r>
      <w:r w:rsidR="004C2B52">
        <w:rPr>
          <w:rFonts w:ascii="Arial" w:eastAsiaTheme="minorHAnsi" w:hAnsi="Arial" w:cs="Arial"/>
          <w:sz w:val="22"/>
          <w:szCs w:val="22"/>
        </w:rPr>
        <w:t xml:space="preserve">of 2:1 ratio of staff to child be </w:t>
      </w:r>
      <w:proofErr w:type="gramStart"/>
      <w:r w:rsidR="004C2B52">
        <w:rPr>
          <w:rFonts w:ascii="Arial" w:eastAsiaTheme="minorHAnsi" w:hAnsi="Arial" w:cs="Arial"/>
          <w:sz w:val="22"/>
          <w:szCs w:val="22"/>
        </w:rPr>
        <w:t>considered</w:t>
      </w:r>
      <w:proofErr w:type="gramEnd"/>
    </w:p>
    <w:p w14:paraId="61CDDE18" w14:textId="77777777" w:rsidR="00213F23" w:rsidRPr="00EB04D7" w:rsidRDefault="00213F23" w:rsidP="00213F23">
      <w:pPr>
        <w:spacing w:after="160"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Presentation by Commissioner Candice Broce</w:t>
      </w:r>
    </w:p>
    <w:p w14:paraId="55DCF7C9" w14:textId="74AD9F96" w:rsidR="00213F23" w:rsidRDefault="000B5EBD" w:rsidP="00A14650">
      <w:pPr>
        <w:numPr>
          <w:ilvl w:val="0"/>
          <w:numId w:val="11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Most updates were covered in previous </w:t>
      </w:r>
      <w:proofErr w:type="gramStart"/>
      <w:r>
        <w:rPr>
          <w:rFonts w:ascii="Arial" w:eastAsiaTheme="minorHAnsi" w:hAnsi="Arial" w:cs="Arial"/>
          <w:sz w:val="22"/>
          <w:szCs w:val="22"/>
        </w:rPr>
        <w:t>reports</w:t>
      </w:r>
      <w:proofErr w:type="gramEnd"/>
    </w:p>
    <w:p w14:paraId="43D035D4" w14:textId="74F13018" w:rsidR="000B5EBD" w:rsidRDefault="000B5EBD" w:rsidP="00A14650">
      <w:pPr>
        <w:numPr>
          <w:ilvl w:val="0"/>
          <w:numId w:val="11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Currently working through the legislative </w:t>
      </w:r>
      <w:r w:rsidR="00B167BD">
        <w:rPr>
          <w:rFonts w:ascii="Arial" w:eastAsiaTheme="minorHAnsi" w:hAnsi="Arial" w:cs="Arial"/>
          <w:sz w:val="22"/>
          <w:szCs w:val="22"/>
        </w:rPr>
        <w:t xml:space="preserve">and budget processes since Session has </w:t>
      </w:r>
      <w:proofErr w:type="gramStart"/>
      <w:r w:rsidR="00B167BD">
        <w:rPr>
          <w:rFonts w:ascii="Arial" w:eastAsiaTheme="minorHAnsi" w:hAnsi="Arial" w:cs="Arial"/>
          <w:sz w:val="22"/>
          <w:szCs w:val="22"/>
        </w:rPr>
        <w:t>started</w:t>
      </w:r>
      <w:proofErr w:type="gramEnd"/>
    </w:p>
    <w:p w14:paraId="63CEEE18" w14:textId="3402A4E1" w:rsidR="00B167BD" w:rsidRPr="00EB04D7" w:rsidRDefault="00B167BD" w:rsidP="00A14650">
      <w:pPr>
        <w:numPr>
          <w:ilvl w:val="0"/>
          <w:numId w:val="11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Extended the amount of time that our elderly</w:t>
      </w:r>
      <w:r w:rsidR="00A14650">
        <w:rPr>
          <w:rFonts w:ascii="Arial" w:eastAsiaTheme="minorHAnsi" w:hAnsi="Arial" w:cs="Arial"/>
          <w:sz w:val="22"/>
          <w:szCs w:val="22"/>
        </w:rPr>
        <w:t xml:space="preserve"> </w:t>
      </w:r>
      <w:proofErr w:type="gramStart"/>
      <w:r w:rsidR="00A14650">
        <w:rPr>
          <w:rFonts w:ascii="Arial" w:eastAsiaTheme="minorHAnsi" w:hAnsi="Arial" w:cs="Arial"/>
          <w:sz w:val="22"/>
          <w:szCs w:val="22"/>
        </w:rPr>
        <w:t>receive</w:t>
      </w:r>
      <w:proofErr w:type="gramEnd"/>
      <w:r w:rsidR="00A14650">
        <w:rPr>
          <w:rFonts w:ascii="Arial" w:eastAsiaTheme="minorHAnsi" w:hAnsi="Arial" w:cs="Arial"/>
          <w:sz w:val="22"/>
          <w:szCs w:val="22"/>
        </w:rPr>
        <w:t xml:space="preserve"> SNAP</w:t>
      </w:r>
    </w:p>
    <w:p w14:paraId="191AC372" w14:textId="77777777" w:rsidR="00213F23" w:rsidRPr="00EB04D7" w:rsidRDefault="00213F23" w:rsidP="00A14650">
      <w:pPr>
        <w:numPr>
          <w:ilvl w:val="0"/>
          <w:numId w:val="11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>Closing remarks and parting words from Chair Fletcher and Chair Dorsey</w:t>
      </w:r>
    </w:p>
    <w:p w14:paraId="32C8B5B2" w14:textId="77777777" w:rsidR="00213F23" w:rsidRPr="00EB04D7" w:rsidRDefault="00213F23" w:rsidP="00213F23">
      <w:pPr>
        <w:pStyle w:val="ListParagraph"/>
        <w:ind w:left="1440"/>
        <w:rPr>
          <w:rFonts w:ascii="Arial" w:eastAsiaTheme="minorHAnsi" w:hAnsi="Arial" w:cs="Arial"/>
          <w:sz w:val="22"/>
          <w:szCs w:val="22"/>
        </w:rPr>
      </w:pPr>
    </w:p>
    <w:p w14:paraId="58EF39DD" w14:textId="06FF88A6" w:rsidR="00213F23" w:rsidRPr="00EB04D7" w:rsidRDefault="00213F23" w:rsidP="00A14650">
      <w:pPr>
        <w:numPr>
          <w:ilvl w:val="0"/>
          <w:numId w:val="11"/>
        </w:numPr>
        <w:spacing w:after="160"/>
        <w:rPr>
          <w:rFonts w:ascii="Arial" w:eastAsiaTheme="minorHAnsi" w:hAnsi="Arial" w:cs="Arial"/>
          <w:sz w:val="22"/>
          <w:szCs w:val="22"/>
        </w:rPr>
      </w:pPr>
      <w:r w:rsidRPr="00EB04D7">
        <w:rPr>
          <w:rFonts w:ascii="Arial" w:eastAsiaTheme="minorHAnsi" w:hAnsi="Arial" w:cs="Arial"/>
          <w:sz w:val="22"/>
          <w:szCs w:val="22"/>
        </w:rPr>
        <w:t xml:space="preserve">Meeting adjourned at </w:t>
      </w:r>
      <w:r w:rsidR="00DE427E">
        <w:rPr>
          <w:rFonts w:ascii="Arial" w:eastAsiaTheme="minorHAnsi" w:hAnsi="Arial" w:cs="Arial"/>
          <w:sz w:val="22"/>
          <w:szCs w:val="22"/>
        </w:rPr>
        <w:t>4:17</w:t>
      </w:r>
      <w:r w:rsidRPr="00EB04D7">
        <w:rPr>
          <w:rFonts w:ascii="Arial" w:eastAsiaTheme="minorHAnsi" w:hAnsi="Arial" w:cs="Arial"/>
          <w:sz w:val="22"/>
          <w:szCs w:val="22"/>
        </w:rPr>
        <w:t xml:space="preserve"> p.m.</w:t>
      </w:r>
    </w:p>
    <w:p w14:paraId="5E8DB75E" w14:textId="77777777" w:rsidR="00213F23" w:rsidRDefault="00213F23"/>
    <w:sectPr w:rsidR="00213F2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C199" w14:textId="77777777" w:rsidR="000B7970" w:rsidRDefault="000B7970" w:rsidP="00213F23">
      <w:r>
        <w:separator/>
      </w:r>
    </w:p>
  </w:endnote>
  <w:endnote w:type="continuationSeparator" w:id="0">
    <w:p w14:paraId="11B8E891" w14:textId="77777777" w:rsidR="000B7970" w:rsidRDefault="000B7970" w:rsidP="0021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7AC2" w14:textId="77777777" w:rsidR="000B7970" w:rsidRDefault="000B7970" w:rsidP="00213F23">
      <w:r>
        <w:separator/>
      </w:r>
    </w:p>
  </w:footnote>
  <w:footnote w:type="continuationSeparator" w:id="0">
    <w:p w14:paraId="45B71FD3" w14:textId="77777777" w:rsidR="000B7970" w:rsidRDefault="000B7970" w:rsidP="0021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BA23" w14:textId="78F8B0A3" w:rsidR="00213F23" w:rsidRDefault="00213F23">
    <w:pPr>
      <w:pStyle w:val="Header"/>
    </w:pPr>
    <w:r>
      <w:rPr>
        <w:noProof/>
      </w:rPr>
      <w:drawing>
        <wp:inline distT="0" distB="0" distL="0" distR="0" wp14:anchorId="779D57DF" wp14:editId="6A40ED30">
          <wp:extent cx="5849611" cy="1444273"/>
          <wp:effectExtent l="0" t="0" r="5715" b="381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611" cy="144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4A3A"/>
    <w:multiLevelType w:val="hybridMultilevel"/>
    <w:tmpl w:val="D31087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D746CB"/>
    <w:multiLevelType w:val="hybridMultilevel"/>
    <w:tmpl w:val="042ED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60A05"/>
    <w:multiLevelType w:val="hybridMultilevel"/>
    <w:tmpl w:val="99E21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F6CB3"/>
    <w:multiLevelType w:val="hybridMultilevel"/>
    <w:tmpl w:val="0CCEBC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E0522B6"/>
    <w:multiLevelType w:val="hybridMultilevel"/>
    <w:tmpl w:val="B4221C0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E4B2A29"/>
    <w:multiLevelType w:val="hybridMultilevel"/>
    <w:tmpl w:val="4FF00D12"/>
    <w:lvl w:ilvl="0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7042D1"/>
    <w:multiLevelType w:val="hybridMultilevel"/>
    <w:tmpl w:val="3190D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1159"/>
    <w:multiLevelType w:val="hybridMultilevel"/>
    <w:tmpl w:val="6388E2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762C29"/>
    <w:multiLevelType w:val="hybridMultilevel"/>
    <w:tmpl w:val="9E4C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346D7"/>
    <w:multiLevelType w:val="hybridMultilevel"/>
    <w:tmpl w:val="DD08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D6172"/>
    <w:multiLevelType w:val="hybridMultilevel"/>
    <w:tmpl w:val="52AE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002157">
    <w:abstractNumId w:val="8"/>
  </w:num>
  <w:num w:numId="2" w16cid:durableId="633869244">
    <w:abstractNumId w:val="6"/>
  </w:num>
  <w:num w:numId="3" w16cid:durableId="1000618458">
    <w:abstractNumId w:val="2"/>
  </w:num>
  <w:num w:numId="4" w16cid:durableId="261960207">
    <w:abstractNumId w:val="7"/>
  </w:num>
  <w:num w:numId="5" w16cid:durableId="377819085">
    <w:abstractNumId w:val="3"/>
  </w:num>
  <w:num w:numId="6" w16cid:durableId="130952403">
    <w:abstractNumId w:val="9"/>
  </w:num>
  <w:num w:numId="7" w16cid:durableId="1206523438">
    <w:abstractNumId w:val="0"/>
  </w:num>
  <w:num w:numId="8" w16cid:durableId="1720544537">
    <w:abstractNumId w:val="4"/>
  </w:num>
  <w:num w:numId="9" w16cid:durableId="422773079">
    <w:abstractNumId w:val="5"/>
  </w:num>
  <w:num w:numId="10" w16cid:durableId="1396050773">
    <w:abstractNumId w:val="10"/>
  </w:num>
  <w:num w:numId="11" w16cid:durableId="70090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23"/>
    <w:rsid w:val="000304DF"/>
    <w:rsid w:val="000622D9"/>
    <w:rsid w:val="000B5600"/>
    <w:rsid w:val="000B5EBD"/>
    <w:rsid w:val="000B7970"/>
    <w:rsid w:val="00100D86"/>
    <w:rsid w:val="00123715"/>
    <w:rsid w:val="00154B18"/>
    <w:rsid w:val="001C11A7"/>
    <w:rsid w:val="00207442"/>
    <w:rsid w:val="00207CEF"/>
    <w:rsid w:val="00213F23"/>
    <w:rsid w:val="00257D71"/>
    <w:rsid w:val="002B48B9"/>
    <w:rsid w:val="002E615D"/>
    <w:rsid w:val="002F740A"/>
    <w:rsid w:val="00320ECF"/>
    <w:rsid w:val="00352B4A"/>
    <w:rsid w:val="003564F6"/>
    <w:rsid w:val="00384CAF"/>
    <w:rsid w:val="003C1D11"/>
    <w:rsid w:val="003E3FB3"/>
    <w:rsid w:val="004227C0"/>
    <w:rsid w:val="00497F75"/>
    <w:rsid w:val="004C2B52"/>
    <w:rsid w:val="004E30A3"/>
    <w:rsid w:val="00551FDA"/>
    <w:rsid w:val="00586185"/>
    <w:rsid w:val="005B00A9"/>
    <w:rsid w:val="005F2A0F"/>
    <w:rsid w:val="006D3AF8"/>
    <w:rsid w:val="00723C13"/>
    <w:rsid w:val="00732856"/>
    <w:rsid w:val="00754EF3"/>
    <w:rsid w:val="007962A0"/>
    <w:rsid w:val="007C0B0B"/>
    <w:rsid w:val="007E22C7"/>
    <w:rsid w:val="00843528"/>
    <w:rsid w:val="00853F0A"/>
    <w:rsid w:val="00854AAD"/>
    <w:rsid w:val="00893D14"/>
    <w:rsid w:val="009601D6"/>
    <w:rsid w:val="009C2D7D"/>
    <w:rsid w:val="009E3630"/>
    <w:rsid w:val="009F3403"/>
    <w:rsid w:val="00A14650"/>
    <w:rsid w:val="00A613EF"/>
    <w:rsid w:val="00B13493"/>
    <w:rsid w:val="00B167BD"/>
    <w:rsid w:val="00B20C95"/>
    <w:rsid w:val="00B24165"/>
    <w:rsid w:val="00B61508"/>
    <w:rsid w:val="00B7279B"/>
    <w:rsid w:val="00BB2168"/>
    <w:rsid w:val="00BC31B9"/>
    <w:rsid w:val="00BF1D0E"/>
    <w:rsid w:val="00C4396C"/>
    <w:rsid w:val="00C71CC2"/>
    <w:rsid w:val="00C76733"/>
    <w:rsid w:val="00D04598"/>
    <w:rsid w:val="00D4308D"/>
    <w:rsid w:val="00D4625D"/>
    <w:rsid w:val="00D51DF3"/>
    <w:rsid w:val="00DC3A50"/>
    <w:rsid w:val="00DE427E"/>
    <w:rsid w:val="00DE68E1"/>
    <w:rsid w:val="00DF1872"/>
    <w:rsid w:val="00E82F3E"/>
    <w:rsid w:val="00EB7DAD"/>
    <w:rsid w:val="00EB7DC9"/>
    <w:rsid w:val="00F06B89"/>
    <w:rsid w:val="00F342C1"/>
    <w:rsid w:val="00F36DE5"/>
    <w:rsid w:val="00F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2D0E"/>
  <w15:chartTrackingRefBased/>
  <w15:docId w15:val="{8996F103-7735-46E3-A464-78C5FF52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23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F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F23"/>
  </w:style>
  <w:style w:type="paragraph" w:styleId="Footer">
    <w:name w:val="footer"/>
    <w:basedOn w:val="Normal"/>
    <w:link w:val="FooterChar"/>
    <w:uiPriority w:val="99"/>
    <w:unhideWhenUsed/>
    <w:rsid w:val="00213F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F23"/>
  </w:style>
  <w:style w:type="paragraph" w:styleId="ListParagraph">
    <w:name w:val="List Paragraph"/>
    <w:basedOn w:val="Normal"/>
    <w:uiPriority w:val="34"/>
    <w:qFormat/>
    <w:rsid w:val="00213F23"/>
    <w:pPr>
      <w:ind w:left="720"/>
      <w:contextualSpacing/>
    </w:pPr>
  </w:style>
  <w:style w:type="character" w:customStyle="1" w:styleId="normaltextrun">
    <w:name w:val="normaltextrun"/>
    <w:basedOn w:val="DefaultParagraphFont"/>
    <w:rsid w:val="0021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D92119623F14AB19C4D6F20B34047" ma:contentTypeVersion="9" ma:contentTypeDescription="Create a new document." ma:contentTypeScope="" ma:versionID="aece4efc50fbda1a376f78f1ed1cead3">
  <xsd:schema xmlns:xsd="http://www.w3.org/2001/XMLSchema" xmlns:xs="http://www.w3.org/2001/XMLSchema" xmlns:p="http://schemas.microsoft.com/office/2006/metadata/properties" xmlns:ns3="a3a77377-1ee6-429b-9700-ceb22d090299" xmlns:ns4="a905b2a6-0e1b-4806-b24d-d2e68a264523" targetNamespace="http://schemas.microsoft.com/office/2006/metadata/properties" ma:root="true" ma:fieldsID="151b3cb29297817a031e034f81933e56" ns3:_="" ns4:_="">
    <xsd:import namespace="a3a77377-1ee6-429b-9700-ceb22d090299"/>
    <xsd:import namespace="a905b2a6-0e1b-4806-b24d-d2e68a2645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77377-1ee6-429b-9700-ceb22d090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b2a6-0e1b-4806-b24d-d2e68a2645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a77377-1ee6-429b-9700-ceb22d090299" xsi:nil="true"/>
  </documentManagement>
</p:properties>
</file>

<file path=customXml/itemProps1.xml><?xml version="1.0" encoding="utf-8"?>
<ds:datastoreItem xmlns:ds="http://schemas.openxmlformats.org/officeDocument/2006/customXml" ds:itemID="{D6057FB4-D25C-4901-A3A9-E5566EDC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77377-1ee6-429b-9700-ceb22d090299"/>
    <ds:schemaRef ds:uri="a905b2a6-0e1b-4806-b24d-d2e68a264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1AD2E-202B-4D1F-9B42-0FE2B2095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624BC-3CE8-4C3B-95F4-5C2C1EFD5ED9}">
  <ds:schemaRefs>
    <ds:schemaRef ds:uri="http://schemas.microsoft.com/office/2006/metadata/properties"/>
    <ds:schemaRef ds:uri="http://schemas.microsoft.com/office/infopath/2007/PartnerControls"/>
    <ds:schemaRef ds:uri="a3a77377-1ee6-429b-9700-ceb22d090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McCullough, Emma</dc:creator>
  <cp:keywords/>
  <dc:description/>
  <cp:lastModifiedBy>McCullough, Emma</cp:lastModifiedBy>
  <cp:revision>3</cp:revision>
  <dcterms:created xsi:type="dcterms:W3CDTF">2023-02-20T18:00:00Z</dcterms:created>
  <dcterms:modified xsi:type="dcterms:W3CDTF">2023-02-20T18:01:00Z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0x010100C92D92119623F14AB19C4D6F20B34047</vt:lpwstr>
  </property>
</Properties>
</file>