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3925" w14:textId="77777777" w:rsidR="005817A1" w:rsidRDefault="005817A1" w:rsidP="005817A1">
      <w:pPr>
        <w:spacing w:after="0" w:line="240" w:lineRule="auto"/>
        <w:rPr>
          <w:rFonts w:ascii="Calibri" w:eastAsia="Calibri" w:hAnsi="Calibri" w:cs="Times New Roman"/>
        </w:rPr>
      </w:pPr>
    </w:p>
    <w:p w14:paraId="09BA15F0" w14:textId="77777777" w:rsidR="005817A1" w:rsidRPr="00D619A9" w:rsidRDefault="005817A1" w:rsidP="005817A1">
      <w:pPr>
        <w:spacing w:after="0" w:line="240" w:lineRule="auto"/>
        <w:ind w:left="3240"/>
        <w:rPr>
          <w:rFonts w:ascii="Calibri" w:eastAsia="Calibri" w:hAnsi="Calibri" w:cs="Times New Roman"/>
          <w:b/>
          <w:bCs/>
        </w:rPr>
      </w:pPr>
      <w:r w:rsidRPr="00D619A9">
        <w:rPr>
          <w:rFonts w:ascii="Calibri" w:eastAsia="Calibri" w:hAnsi="Calibri" w:cs="Times New Roman"/>
          <w:b/>
          <w:bCs/>
        </w:rPr>
        <w:t>Safe Harbor Commission Meeting</w:t>
      </w:r>
      <w:r>
        <w:rPr>
          <w:rFonts w:ascii="Calibri" w:eastAsia="Calibri" w:hAnsi="Calibri" w:cs="Times New Roman"/>
          <w:b/>
          <w:bCs/>
        </w:rPr>
        <w:t xml:space="preserve"> Minutes</w:t>
      </w:r>
    </w:p>
    <w:p w14:paraId="42E85554" w14:textId="77777777" w:rsidR="005817A1" w:rsidRPr="00D619A9" w:rsidRDefault="005817A1" w:rsidP="005817A1">
      <w:pPr>
        <w:spacing w:after="0" w:line="240" w:lineRule="auto"/>
        <w:ind w:left="2880" w:firstLine="360"/>
        <w:rPr>
          <w:rFonts w:ascii="Calibri" w:eastAsia="Calibri" w:hAnsi="Calibri" w:cs="Times New Roman"/>
          <w:b/>
          <w:bCs/>
        </w:rPr>
      </w:pPr>
      <w:r>
        <w:rPr>
          <w:rFonts w:ascii="Calibri" w:eastAsia="Calibri" w:hAnsi="Calibri" w:cs="Times New Roman"/>
          <w:b/>
          <w:bCs/>
        </w:rPr>
        <w:t>May 19</w:t>
      </w:r>
      <w:r w:rsidRPr="00D619A9">
        <w:rPr>
          <w:rFonts w:ascii="Calibri" w:eastAsia="Calibri" w:hAnsi="Calibri" w:cs="Times New Roman"/>
          <w:b/>
          <w:bCs/>
        </w:rPr>
        <w:t>, 202</w:t>
      </w:r>
      <w:r>
        <w:rPr>
          <w:rFonts w:ascii="Calibri" w:eastAsia="Calibri" w:hAnsi="Calibri" w:cs="Times New Roman"/>
          <w:b/>
          <w:bCs/>
        </w:rPr>
        <w:t>1</w:t>
      </w:r>
      <w:r w:rsidRPr="00D619A9">
        <w:rPr>
          <w:rFonts w:ascii="Calibri" w:eastAsia="Calibri" w:hAnsi="Calibri" w:cs="Times New Roman"/>
          <w:b/>
          <w:bCs/>
        </w:rPr>
        <w:t>,</w:t>
      </w:r>
      <w:r w:rsidRPr="00D619A9">
        <w:rPr>
          <w:rFonts w:ascii="Calibri" w:eastAsia="Calibri" w:hAnsi="Calibri" w:cs="Times New Roman"/>
          <w:b/>
          <w:bCs/>
          <w:vertAlign w:val="superscript"/>
        </w:rPr>
        <w:t xml:space="preserve"> </w:t>
      </w:r>
      <w:r>
        <w:rPr>
          <w:rFonts w:ascii="Calibri" w:eastAsia="Calibri" w:hAnsi="Calibri" w:cs="Times New Roman"/>
          <w:b/>
          <w:bCs/>
        </w:rPr>
        <w:t>3</w:t>
      </w:r>
      <w:r w:rsidRPr="00D619A9">
        <w:rPr>
          <w:rFonts w:ascii="Calibri" w:eastAsia="Calibri" w:hAnsi="Calibri" w:cs="Times New Roman"/>
          <w:b/>
          <w:bCs/>
        </w:rPr>
        <w:t xml:space="preserve">:00 </w:t>
      </w:r>
      <w:r>
        <w:rPr>
          <w:rFonts w:ascii="Calibri" w:eastAsia="Calibri" w:hAnsi="Calibri" w:cs="Times New Roman"/>
          <w:b/>
          <w:bCs/>
        </w:rPr>
        <w:t>P</w:t>
      </w:r>
      <w:r w:rsidRPr="00D619A9">
        <w:rPr>
          <w:rFonts w:ascii="Calibri" w:eastAsia="Calibri" w:hAnsi="Calibri" w:cs="Times New Roman"/>
          <w:b/>
          <w:bCs/>
        </w:rPr>
        <w:t xml:space="preserve">M – </w:t>
      </w:r>
      <w:r>
        <w:rPr>
          <w:rFonts w:ascii="Calibri" w:eastAsia="Calibri" w:hAnsi="Calibri" w:cs="Times New Roman"/>
          <w:b/>
          <w:bCs/>
        </w:rPr>
        <w:t>4</w:t>
      </w:r>
      <w:r w:rsidRPr="00D619A9">
        <w:rPr>
          <w:rFonts w:ascii="Calibri" w:eastAsia="Calibri" w:hAnsi="Calibri" w:cs="Times New Roman"/>
          <w:b/>
          <w:bCs/>
        </w:rPr>
        <w:t>:00 PM</w:t>
      </w:r>
    </w:p>
    <w:p w14:paraId="661E59BF" w14:textId="77777777" w:rsidR="005817A1" w:rsidRDefault="005817A1" w:rsidP="005817A1">
      <w:pPr>
        <w:spacing w:after="0" w:line="240" w:lineRule="auto"/>
        <w:ind w:left="3240"/>
        <w:rPr>
          <w:rFonts w:ascii="Calibri" w:eastAsia="Calibri" w:hAnsi="Calibri" w:cs="Times New Roman"/>
          <w:b/>
          <w:bCs/>
        </w:rPr>
      </w:pPr>
      <w:r>
        <w:rPr>
          <w:rFonts w:ascii="Calibri" w:eastAsia="Calibri" w:hAnsi="Calibri" w:cs="Times New Roman"/>
          <w:b/>
          <w:bCs/>
        </w:rPr>
        <w:t xml:space="preserve">           V</w:t>
      </w:r>
      <w:r w:rsidRPr="00D619A9">
        <w:rPr>
          <w:rFonts w:ascii="Calibri" w:eastAsia="Calibri" w:hAnsi="Calibri" w:cs="Times New Roman"/>
          <w:b/>
          <w:bCs/>
        </w:rPr>
        <w:t>ia Microsoft Team</w:t>
      </w:r>
      <w:r>
        <w:rPr>
          <w:rFonts w:ascii="Calibri" w:eastAsia="Calibri" w:hAnsi="Calibri" w:cs="Times New Roman"/>
          <w:b/>
          <w:bCs/>
        </w:rPr>
        <w:t>s</w:t>
      </w:r>
    </w:p>
    <w:p w14:paraId="3565D33F" w14:textId="77777777" w:rsidR="005817A1" w:rsidRDefault="005817A1" w:rsidP="005817A1">
      <w:pPr>
        <w:spacing w:after="0" w:line="240" w:lineRule="auto"/>
        <w:ind w:left="3240"/>
        <w:rPr>
          <w:rFonts w:ascii="Calibri" w:eastAsia="Calibri" w:hAnsi="Calibri" w:cs="Times New Roman"/>
          <w:b/>
          <w:bCs/>
        </w:rPr>
      </w:pPr>
    </w:p>
    <w:p w14:paraId="1E65F014" w14:textId="77777777" w:rsidR="005817A1" w:rsidRPr="00957FBF" w:rsidRDefault="005817A1" w:rsidP="005817A1">
      <w:pPr>
        <w:spacing w:after="0" w:line="240" w:lineRule="auto"/>
        <w:jc w:val="both"/>
        <w:rPr>
          <w:rFonts w:ascii="Calibri" w:eastAsia="Calibri" w:hAnsi="Calibri" w:cs="Times New Roman"/>
        </w:rPr>
      </w:pPr>
      <w:r>
        <w:rPr>
          <w:rFonts w:ascii="Calibri" w:eastAsia="Calibri" w:hAnsi="Calibri" w:cs="Times New Roman"/>
          <w:b/>
          <w:bCs/>
        </w:rPr>
        <w:t xml:space="preserve">Meeting Attendees: </w:t>
      </w:r>
      <w:r>
        <w:rPr>
          <w:rFonts w:ascii="Calibri" w:eastAsia="Calibri" w:hAnsi="Calibri" w:cs="Times New Roman"/>
        </w:rPr>
        <w:t xml:space="preserve">Tom Rawlings, April Hale, Susan Boatwright, LaMarva Ivory, Jay Neal, Chris Hempfling, Theresa Schiefer, Melissa Carter, Judith Fouts, Rachel Davidson, Kristy Carter, Amy Hutsell, Michelle Smith, Ansley Reeves, Alex Sponseller, Erica Mortonson, Gabrielle Star, Aleks Jagiella-Litts, Allison Ashe, Christopher Perlera, Dahlia Brown and Salena Perry. </w:t>
      </w:r>
    </w:p>
    <w:p w14:paraId="47B80116" w14:textId="77777777" w:rsidR="005817A1" w:rsidRDefault="005817A1" w:rsidP="005817A1">
      <w:pPr>
        <w:spacing w:after="0" w:line="240" w:lineRule="auto"/>
        <w:jc w:val="both"/>
        <w:rPr>
          <w:rFonts w:ascii="Calibri" w:eastAsia="Calibri" w:hAnsi="Calibri" w:cs="Times New Roman"/>
          <w:b/>
          <w:bCs/>
        </w:rPr>
      </w:pPr>
    </w:p>
    <w:p w14:paraId="790E9051" w14:textId="77777777" w:rsidR="005817A1" w:rsidRPr="004B7F6E" w:rsidRDefault="005817A1" w:rsidP="005817A1">
      <w:pPr>
        <w:spacing w:after="0" w:line="240" w:lineRule="auto"/>
        <w:jc w:val="both"/>
        <w:rPr>
          <w:rFonts w:ascii="Calibri" w:eastAsia="Calibri" w:hAnsi="Calibri" w:cs="Times New Roman"/>
        </w:rPr>
      </w:pPr>
      <w:r>
        <w:rPr>
          <w:rFonts w:ascii="Calibri" w:eastAsia="Calibri" w:hAnsi="Calibri" w:cs="Times New Roman"/>
          <w:b/>
          <w:bCs/>
        </w:rPr>
        <w:t xml:space="preserve">Called to Order: </w:t>
      </w:r>
      <w:r>
        <w:rPr>
          <w:rFonts w:ascii="Calibri" w:eastAsia="Calibri" w:hAnsi="Calibri" w:cs="Times New Roman"/>
        </w:rPr>
        <w:t>3:02pm</w:t>
      </w:r>
    </w:p>
    <w:p w14:paraId="3EC35FC6" w14:textId="77777777" w:rsidR="005817A1" w:rsidRPr="003427C6" w:rsidRDefault="005817A1" w:rsidP="005817A1">
      <w:pPr>
        <w:spacing w:after="0" w:line="240" w:lineRule="auto"/>
        <w:ind w:left="1080"/>
        <w:rPr>
          <w:rFonts w:ascii="Calibri" w:eastAsia="Calibri" w:hAnsi="Calibri" w:cs="Calibri"/>
        </w:rPr>
      </w:pPr>
    </w:p>
    <w:p w14:paraId="683DFB94" w14:textId="77777777" w:rsidR="005817A1" w:rsidRPr="00717588" w:rsidRDefault="005817A1" w:rsidP="005817A1">
      <w:pPr>
        <w:numPr>
          <w:ilvl w:val="0"/>
          <w:numId w:val="1"/>
        </w:numPr>
        <w:spacing w:after="0" w:line="240" w:lineRule="auto"/>
        <w:rPr>
          <w:rFonts w:eastAsia="Calibri" w:cstheme="minorHAnsi"/>
          <w:b/>
          <w:bCs/>
        </w:rPr>
      </w:pPr>
      <w:r w:rsidRPr="00717588">
        <w:rPr>
          <w:rFonts w:eastAsia="Calibri" w:cstheme="minorHAnsi"/>
          <w:b/>
          <w:bCs/>
        </w:rPr>
        <w:t xml:space="preserve">Welcome and Call to Order – Tom Rawlings, DFCS Division Director </w:t>
      </w:r>
    </w:p>
    <w:p w14:paraId="2CE95600" w14:textId="77777777" w:rsidR="005817A1" w:rsidRPr="004E6872" w:rsidRDefault="005817A1" w:rsidP="005817A1">
      <w:pPr>
        <w:numPr>
          <w:ilvl w:val="1"/>
          <w:numId w:val="1"/>
        </w:numPr>
        <w:spacing w:after="0" w:line="240" w:lineRule="auto"/>
        <w:rPr>
          <w:rFonts w:eastAsia="Calibri" w:cstheme="minorHAnsi"/>
        </w:rPr>
      </w:pPr>
      <w:r w:rsidRPr="004E6872">
        <w:rPr>
          <w:rFonts w:eastAsia="Calibri" w:cstheme="minorHAnsi"/>
        </w:rPr>
        <w:t>Call to Order</w:t>
      </w:r>
    </w:p>
    <w:p w14:paraId="0E9513CC" w14:textId="77777777" w:rsidR="005817A1" w:rsidRDefault="005817A1" w:rsidP="005817A1">
      <w:pPr>
        <w:numPr>
          <w:ilvl w:val="2"/>
          <w:numId w:val="1"/>
        </w:numPr>
        <w:spacing w:after="0" w:line="240" w:lineRule="auto"/>
        <w:rPr>
          <w:rFonts w:eastAsia="Calibri" w:cstheme="minorHAnsi"/>
        </w:rPr>
      </w:pPr>
      <w:r>
        <w:rPr>
          <w:rFonts w:eastAsia="Calibri" w:cstheme="minorHAnsi"/>
        </w:rPr>
        <w:t>Chairman Tom Rawlings called the meeting to order at 3:02pm.</w:t>
      </w:r>
    </w:p>
    <w:p w14:paraId="08252BC4" w14:textId="77777777" w:rsidR="005817A1" w:rsidRPr="004E6872" w:rsidRDefault="005817A1" w:rsidP="005817A1">
      <w:pPr>
        <w:pStyle w:val="ListParagraph"/>
        <w:numPr>
          <w:ilvl w:val="1"/>
          <w:numId w:val="1"/>
        </w:numPr>
        <w:spacing w:after="0" w:line="240" w:lineRule="auto"/>
        <w:rPr>
          <w:rFonts w:eastAsia="Calibri" w:cstheme="minorHAnsi"/>
        </w:rPr>
      </w:pPr>
      <w:r>
        <w:rPr>
          <w:rFonts w:eastAsia="Calibri" w:cstheme="minorHAnsi"/>
        </w:rPr>
        <w:t>Roll Call</w:t>
      </w:r>
    </w:p>
    <w:p w14:paraId="150CA997" w14:textId="77777777" w:rsidR="005817A1" w:rsidRDefault="005817A1" w:rsidP="005817A1">
      <w:pPr>
        <w:numPr>
          <w:ilvl w:val="2"/>
          <w:numId w:val="1"/>
        </w:numPr>
        <w:spacing w:after="0" w:line="240" w:lineRule="auto"/>
        <w:rPr>
          <w:rFonts w:eastAsia="Calibri" w:cstheme="minorHAnsi"/>
        </w:rPr>
      </w:pPr>
      <w:r>
        <w:rPr>
          <w:rFonts w:eastAsia="Calibri" w:cstheme="minorHAnsi"/>
        </w:rPr>
        <w:t>Christopher Perlera called roll which resulted in a quorum. Six of eight Commission members were present (Allison Ashe, Theresa Schiefer, April Hale, Tom Rawlings, Judith Fouts, and Jay Neal).</w:t>
      </w:r>
    </w:p>
    <w:p w14:paraId="21D2BFDA" w14:textId="77777777" w:rsidR="005817A1" w:rsidRDefault="005817A1" w:rsidP="005817A1">
      <w:pPr>
        <w:pStyle w:val="ListParagraph"/>
        <w:numPr>
          <w:ilvl w:val="1"/>
          <w:numId w:val="1"/>
        </w:numPr>
        <w:spacing w:after="0" w:line="240" w:lineRule="auto"/>
        <w:rPr>
          <w:rFonts w:eastAsia="Calibri" w:cstheme="minorHAnsi"/>
        </w:rPr>
      </w:pPr>
      <w:r>
        <w:rPr>
          <w:rFonts w:eastAsia="Calibri" w:cstheme="minorHAnsi"/>
        </w:rPr>
        <w:t>Approval of Minutes</w:t>
      </w:r>
    </w:p>
    <w:p w14:paraId="2D16D84D" w14:textId="77777777" w:rsidR="005817A1" w:rsidRDefault="005817A1" w:rsidP="005817A1">
      <w:pPr>
        <w:pStyle w:val="ListParagraph"/>
        <w:numPr>
          <w:ilvl w:val="0"/>
          <w:numId w:val="9"/>
        </w:numPr>
        <w:spacing w:after="0" w:line="240" w:lineRule="auto"/>
        <w:rPr>
          <w:rFonts w:eastAsia="Calibri" w:cstheme="minorHAnsi"/>
        </w:rPr>
      </w:pPr>
      <w:r>
        <w:rPr>
          <w:rFonts w:eastAsia="Calibri" w:cstheme="minorHAnsi"/>
        </w:rPr>
        <w:t xml:space="preserve">The motion to approve the previous meeting minutes was made by Allison Ashe and seconded by Judith Fouts. </w:t>
      </w:r>
    </w:p>
    <w:p w14:paraId="6074CE19" w14:textId="77777777" w:rsidR="005817A1" w:rsidRDefault="005817A1" w:rsidP="005817A1">
      <w:pPr>
        <w:pStyle w:val="ListParagraph"/>
        <w:numPr>
          <w:ilvl w:val="0"/>
          <w:numId w:val="9"/>
        </w:numPr>
        <w:spacing w:after="0" w:line="240" w:lineRule="auto"/>
        <w:rPr>
          <w:rFonts w:eastAsia="Calibri" w:cstheme="minorHAnsi"/>
        </w:rPr>
      </w:pPr>
      <w:r>
        <w:rPr>
          <w:rFonts w:eastAsia="Calibri" w:cstheme="minorHAnsi"/>
        </w:rPr>
        <w:t>The motion was passed unanimously.</w:t>
      </w:r>
    </w:p>
    <w:p w14:paraId="7C1383E6" w14:textId="77777777" w:rsidR="005817A1" w:rsidRDefault="005817A1" w:rsidP="005817A1">
      <w:pPr>
        <w:spacing w:after="0" w:line="240" w:lineRule="auto"/>
        <w:rPr>
          <w:rFonts w:eastAsia="Calibri" w:cstheme="minorHAnsi"/>
        </w:rPr>
      </w:pPr>
    </w:p>
    <w:p w14:paraId="13B80133" w14:textId="77777777" w:rsidR="005817A1" w:rsidRPr="00717588" w:rsidRDefault="005817A1" w:rsidP="005817A1">
      <w:pPr>
        <w:numPr>
          <w:ilvl w:val="0"/>
          <w:numId w:val="1"/>
        </w:numPr>
        <w:spacing w:after="0" w:line="240" w:lineRule="auto"/>
        <w:rPr>
          <w:rFonts w:eastAsia="Calibri" w:cstheme="minorHAnsi"/>
          <w:b/>
          <w:bCs/>
        </w:rPr>
      </w:pPr>
      <w:bookmarkStart w:id="0" w:name="_Hlk50556893"/>
      <w:r>
        <w:rPr>
          <w:rFonts w:eastAsia="Calibri" w:cstheme="minorHAnsi"/>
          <w:b/>
          <w:bCs/>
        </w:rPr>
        <w:t>Standard Order of Business</w:t>
      </w:r>
    </w:p>
    <w:p w14:paraId="1512B1B6" w14:textId="77777777" w:rsidR="005817A1" w:rsidRDefault="005817A1" w:rsidP="005817A1">
      <w:pPr>
        <w:numPr>
          <w:ilvl w:val="1"/>
          <w:numId w:val="1"/>
        </w:numPr>
        <w:spacing w:after="0" w:line="240" w:lineRule="auto"/>
        <w:rPr>
          <w:rFonts w:eastAsia="Calibri" w:cstheme="minorHAnsi"/>
        </w:rPr>
      </w:pPr>
      <w:r>
        <w:rPr>
          <w:rFonts w:eastAsia="Calibri" w:cstheme="minorHAnsi"/>
        </w:rPr>
        <w:t>Rule 565-1.01 Fund Administration</w:t>
      </w:r>
    </w:p>
    <w:p w14:paraId="09383EBB"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Chris Hempfling, General Counsel for DFCS, explained the Proposed Rule.</w:t>
      </w:r>
    </w:p>
    <w:p w14:paraId="4DCB3478"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Proposed Rule was published on the DHS website under the Safe Harbor Commission tab for 30 days.   </w:t>
      </w:r>
    </w:p>
    <w:p w14:paraId="07A8C3B4"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There was a public hearing for Rule 565-1.01. There were no comments or objections to the proposed rule. </w:t>
      </w:r>
    </w:p>
    <w:p w14:paraId="70687747"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motion to adopt Rule 565-1.01 was made by Jay Neal and seconded by April Hale. </w:t>
      </w:r>
    </w:p>
    <w:p w14:paraId="72B4C30B"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motioned was passed unanimously.  </w:t>
      </w:r>
    </w:p>
    <w:p w14:paraId="1BAB7EB3" w14:textId="77777777" w:rsidR="005817A1" w:rsidRDefault="005817A1" w:rsidP="005817A1">
      <w:pPr>
        <w:numPr>
          <w:ilvl w:val="1"/>
          <w:numId w:val="1"/>
        </w:numPr>
        <w:spacing w:after="0" w:line="240" w:lineRule="auto"/>
        <w:rPr>
          <w:rFonts w:eastAsia="Calibri" w:cstheme="minorHAnsi"/>
        </w:rPr>
      </w:pPr>
      <w:r>
        <w:rPr>
          <w:rFonts w:eastAsia="Calibri" w:cstheme="minorHAnsi"/>
        </w:rPr>
        <w:t>RFA Recommendations from CJCC</w:t>
      </w:r>
    </w:p>
    <w:p w14:paraId="1D285CB1"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Kristy Carter, Division Director of CJCC shared a memorandum detailing the RFA process and applicant recommendations.</w:t>
      </w:r>
    </w:p>
    <w:p w14:paraId="3078A69A"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There were seven grant applications that identified within the three priority areas as outlined in the RFA. </w:t>
      </w:r>
    </w:p>
    <w:p w14:paraId="1F9C338B"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The applications were due April 30, 2021.</w:t>
      </w:r>
    </w:p>
    <w:p w14:paraId="46722DEB"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Initial awards will begin July 1, 2021-June 30, 2022. </w:t>
      </w:r>
    </w:p>
    <w:p w14:paraId="255862B8"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lastRenderedPageBreak/>
        <w:t>CJCC recommended the following applicants to receive funding: Children’s Advocacy Center of Georgia (CACGA), Gigi’s House, Micah’s Promise, University of Georgia CEASE Clinic, and Wellspring Living, Inc.</w:t>
      </w:r>
    </w:p>
    <w:p w14:paraId="4ACFF839"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details of the funding and the funding process can be found in CJCC’s memorandum to the Safe Harbor Commission. </w:t>
      </w:r>
    </w:p>
    <w:p w14:paraId="27727235" w14:textId="0B16E982"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Judith Fouts made a motion to receive the recommendations from CJCC. It was seconded by Theresa </w:t>
      </w:r>
      <w:r w:rsidR="00394B0A">
        <w:t>Schiefer</w:t>
      </w:r>
      <w:r>
        <w:rPr>
          <w:rFonts w:eastAsia="Calibri" w:cstheme="minorHAnsi"/>
        </w:rPr>
        <w:t xml:space="preserve"> and the motion passed unanimously. </w:t>
      </w:r>
    </w:p>
    <w:p w14:paraId="6C942A60"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Tom Rawlings requested that CJCC and DFCS collaborate on drafting press releases for local media. </w:t>
      </w:r>
    </w:p>
    <w:p w14:paraId="0B2A9DE3"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All quotes for the press releases should be sent to Christopher Perlera. </w:t>
      </w:r>
    </w:p>
    <w:p w14:paraId="7CF7CE6D"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Christopher Perlera agreed to take the lead with coordinating the press releases among DFCS, CJCC, and the First Lady’s Office. </w:t>
      </w:r>
    </w:p>
    <w:p w14:paraId="49B717F2" w14:textId="77777777" w:rsidR="005817A1" w:rsidRDefault="005817A1" w:rsidP="005817A1">
      <w:pPr>
        <w:numPr>
          <w:ilvl w:val="1"/>
          <w:numId w:val="1"/>
        </w:numPr>
        <w:spacing w:after="0" w:line="240" w:lineRule="auto"/>
        <w:rPr>
          <w:rFonts w:eastAsia="Calibri" w:cstheme="minorHAnsi"/>
        </w:rPr>
      </w:pPr>
      <w:r>
        <w:rPr>
          <w:rFonts w:eastAsia="Calibri" w:cstheme="minorHAnsi"/>
        </w:rPr>
        <w:t>Joint meeting between the Grace and Safe Harbor Commissions</w:t>
      </w:r>
    </w:p>
    <w:p w14:paraId="101E6B92"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Grace Commission is working on finding dates that will accommodate members. They will reach out to the Safe Harbor Commission with potential meeting options. </w:t>
      </w:r>
    </w:p>
    <w:p w14:paraId="7A116C8B" w14:textId="77777777" w:rsidR="005817A1" w:rsidRDefault="005817A1" w:rsidP="005817A1">
      <w:pPr>
        <w:pStyle w:val="ListParagraph"/>
        <w:numPr>
          <w:ilvl w:val="1"/>
          <w:numId w:val="1"/>
        </w:numPr>
        <w:spacing w:after="0" w:line="240" w:lineRule="auto"/>
        <w:rPr>
          <w:rFonts w:eastAsia="Calibri" w:cstheme="minorHAnsi"/>
        </w:rPr>
      </w:pPr>
      <w:r>
        <w:rPr>
          <w:rFonts w:eastAsia="Calibri" w:cstheme="minorHAnsi"/>
        </w:rPr>
        <w:t>Update from the Attorney General’s Office</w:t>
      </w:r>
    </w:p>
    <w:p w14:paraId="097E0CA8"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Alex Sponseller emailed a copy of the State’s brief in the Georgia Supreme Court in the lawsuit challenging the Adult Business Assessment. </w:t>
      </w:r>
    </w:p>
    <w:p w14:paraId="43B83BC2"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He discussed the challenges and opportunities regarding the lawsuit. </w:t>
      </w:r>
    </w:p>
    <w:p w14:paraId="0DD95A32"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The initial brief that was emailed to the Safe Harbor Commission addresses the vagueness challenge.</w:t>
      </w:r>
    </w:p>
    <w:p w14:paraId="6665E609"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Alex believes that they have strong arguments for getting the vagueness challenge thrown out and reestablish the assessment over lingerie modeling studios. </w:t>
      </w:r>
    </w:p>
    <w:p w14:paraId="6E36D81C"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Alex agreed to email the Safe Harbor Commission a copy of the response to the club’s appeal over the remaining constitutional issues when it is filled. </w:t>
      </w:r>
    </w:p>
    <w:bookmarkEnd w:id="0"/>
    <w:p w14:paraId="490D9924" w14:textId="77777777" w:rsidR="005817A1" w:rsidRPr="001578C4" w:rsidRDefault="005817A1" w:rsidP="005817A1">
      <w:pPr>
        <w:numPr>
          <w:ilvl w:val="0"/>
          <w:numId w:val="1"/>
        </w:numPr>
        <w:spacing w:after="0" w:line="240" w:lineRule="auto"/>
        <w:rPr>
          <w:rFonts w:eastAsia="Times New Roman" w:cstheme="minorHAnsi"/>
          <w:b/>
          <w:bCs/>
        </w:rPr>
      </w:pPr>
      <w:r>
        <w:rPr>
          <w:rFonts w:eastAsia="Calibri" w:cstheme="minorHAnsi"/>
          <w:b/>
          <w:bCs/>
        </w:rPr>
        <w:t xml:space="preserve">Next Steps </w:t>
      </w:r>
    </w:p>
    <w:p w14:paraId="29B8D45E"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next Safe Harbor Commission meeting will be Thursday, July 29th from 3pm-4pm via Microsoft Teams. </w:t>
      </w:r>
    </w:p>
    <w:p w14:paraId="32B7EF45"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During this meeting, the Safe Harbor Commission will discuss the next round of RFAs, the joint meeting between the Grace and Safe Harbor Commissions, and general updates.</w:t>
      </w:r>
    </w:p>
    <w:p w14:paraId="5562EABB"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motion to adjourn was made by April Hale and seconded by Judith Fouts. </w:t>
      </w:r>
    </w:p>
    <w:p w14:paraId="4ED3D868" w14:textId="77777777" w:rsidR="005817A1" w:rsidRDefault="005817A1" w:rsidP="005817A1">
      <w:pPr>
        <w:pStyle w:val="ListParagraph"/>
        <w:numPr>
          <w:ilvl w:val="2"/>
          <w:numId w:val="1"/>
        </w:numPr>
        <w:spacing w:after="0" w:line="240" w:lineRule="auto"/>
        <w:rPr>
          <w:rFonts w:eastAsia="Calibri" w:cstheme="minorHAnsi"/>
        </w:rPr>
      </w:pPr>
      <w:r>
        <w:rPr>
          <w:rFonts w:eastAsia="Calibri" w:cstheme="minorHAnsi"/>
        </w:rPr>
        <w:t xml:space="preserve">The motion passed unanimously. </w:t>
      </w:r>
    </w:p>
    <w:p w14:paraId="3021EAC5" w14:textId="77777777" w:rsidR="005817A1" w:rsidRDefault="005817A1" w:rsidP="005817A1">
      <w:pPr>
        <w:spacing w:after="0" w:line="240" w:lineRule="auto"/>
        <w:rPr>
          <w:rFonts w:cstheme="minorHAnsi"/>
          <w:b/>
          <w:bCs/>
        </w:rPr>
      </w:pPr>
    </w:p>
    <w:p w14:paraId="20384B01" w14:textId="77777777" w:rsidR="005817A1" w:rsidRPr="000E2E75" w:rsidRDefault="005817A1" w:rsidP="005817A1">
      <w:pPr>
        <w:spacing w:after="0" w:line="240" w:lineRule="auto"/>
        <w:rPr>
          <w:rFonts w:cstheme="minorHAnsi"/>
          <w:b/>
          <w:bCs/>
        </w:rPr>
      </w:pPr>
      <w:r w:rsidRPr="000E2E75">
        <w:rPr>
          <w:rFonts w:cstheme="minorHAnsi"/>
          <w:b/>
          <w:bCs/>
        </w:rPr>
        <w:t xml:space="preserve">Meeting </w:t>
      </w:r>
      <w:r>
        <w:rPr>
          <w:rFonts w:cstheme="minorHAnsi"/>
          <w:b/>
          <w:bCs/>
        </w:rPr>
        <w:t>Adjourned</w:t>
      </w:r>
      <w:r w:rsidRPr="000E2E75">
        <w:rPr>
          <w:rFonts w:cstheme="minorHAnsi"/>
          <w:b/>
          <w:bCs/>
        </w:rPr>
        <w:t xml:space="preserve">: </w:t>
      </w:r>
      <w:r>
        <w:rPr>
          <w:rFonts w:cstheme="minorHAnsi"/>
          <w:b/>
          <w:bCs/>
        </w:rPr>
        <w:t>3:46p</w:t>
      </w:r>
      <w:r w:rsidRPr="000E2E75">
        <w:rPr>
          <w:rFonts w:cstheme="minorHAnsi"/>
          <w:b/>
          <w:bCs/>
        </w:rPr>
        <w:t>m</w:t>
      </w:r>
    </w:p>
    <w:p w14:paraId="2AA22B20" w14:textId="77777777" w:rsidR="000E2E75" w:rsidRPr="005817A1" w:rsidRDefault="000E2E75" w:rsidP="005817A1"/>
    <w:sectPr w:rsidR="000E2E75" w:rsidRPr="005817A1" w:rsidSect="00C75B4B">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CBD4" w14:textId="77777777" w:rsidR="00585B84" w:rsidRDefault="00585B84" w:rsidP="00C75B4B">
      <w:pPr>
        <w:spacing w:after="0" w:line="240" w:lineRule="auto"/>
      </w:pPr>
      <w:r>
        <w:separator/>
      </w:r>
    </w:p>
  </w:endnote>
  <w:endnote w:type="continuationSeparator" w:id="0">
    <w:p w14:paraId="2CF56F8B" w14:textId="77777777" w:rsidR="00585B84" w:rsidRDefault="00585B84" w:rsidP="00C7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4DB9" w14:textId="77777777" w:rsidR="00C75B4B" w:rsidRDefault="00652C0A">
    <w:pPr>
      <w:pStyle w:val="Footer"/>
    </w:pPr>
    <w:r>
      <w:rPr>
        <w:noProof/>
      </w:rPr>
      <mc:AlternateContent>
        <mc:Choice Requires="wps">
          <w:drawing>
            <wp:anchor distT="0" distB="0" distL="114300" distR="114300" simplePos="0" relativeHeight="251669504" behindDoc="0" locked="0" layoutInCell="1" allowOverlap="1" wp14:anchorId="6EAF8401" wp14:editId="5E681ADD">
              <wp:simplePos x="0" y="0"/>
              <wp:positionH relativeFrom="margin">
                <wp:align>center</wp:align>
              </wp:positionH>
              <wp:positionV relativeFrom="paragraph">
                <wp:posOffset>-260350</wp:posOffset>
              </wp:positionV>
              <wp:extent cx="8070215" cy="1270"/>
              <wp:effectExtent l="0" t="0" r="26035" b="368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noFill/>
                      <a:ln w="12700" cap="flat" cmpd="sng" algn="ctr">
                        <a:solidFill>
                          <a:srgbClr val="021F4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7FA9A63" id="Straight Connector 4"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20.5pt" to="63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" strokecolor="#021f40" strokeweight="1pt">
              <v:stroke joinstyle="miter"/>
              <o:lock v:ext="edit" shapetype="f"/>
              <w10:wrap anchorx="margin"/>
            </v:line>
          </w:pict>
        </mc:Fallback>
      </mc:AlternateContent>
    </w:r>
    <w:r w:rsidR="00C75B4B" w:rsidRPr="00C75B4B">
      <w:rPr>
        <w:noProof/>
      </w:rPr>
      <w:drawing>
        <wp:anchor distT="0" distB="0" distL="114300" distR="114300" simplePos="0" relativeHeight="251660288" behindDoc="0" locked="0" layoutInCell="1" allowOverlap="1" wp14:anchorId="5ADB7DE7" wp14:editId="3179FD28">
          <wp:simplePos x="0" y="0"/>
          <wp:positionH relativeFrom="margin">
            <wp:align>center</wp:align>
          </wp:positionH>
          <wp:positionV relativeFrom="paragraph">
            <wp:posOffset>-139700</wp:posOffset>
          </wp:positionV>
          <wp:extent cx="3568065" cy="228600"/>
          <wp:effectExtent l="0" t="0" r="0" b="0"/>
          <wp:wrapThrough wrapText="bothSides">
            <wp:wrapPolygon edited="0">
              <wp:start x="3460" y="0"/>
              <wp:lineTo x="0" y="9000"/>
              <wp:lineTo x="0" y="19800"/>
              <wp:lineTo x="21450" y="19800"/>
              <wp:lineTo x="21450" y="10800"/>
              <wp:lineTo x="17990" y="0"/>
              <wp:lineTo x="346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_VI_LetterHead_Leadership_Footer_Bold.pdf"/>
                  <pic:cNvPicPr/>
                </pic:nvPicPr>
                <pic:blipFill>
                  <a:blip r:embed="rId1"/>
                  <a:stretch>
                    <a:fillRect/>
                  </a:stretch>
                </pic:blipFill>
                <pic:spPr>
                  <a:xfrm>
                    <a:off x="0" y="0"/>
                    <a:ext cx="3568065" cy="228600"/>
                  </a:xfrm>
                  <a:prstGeom prst="rect">
                    <a:avLst/>
                  </a:prstGeom>
                </pic:spPr>
              </pic:pic>
            </a:graphicData>
          </a:graphic>
        </wp:anchor>
      </w:drawing>
    </w:r>
    <w:r w:rsidR="00C75B4B" w:rsidRPr="00C75B4B">
      <w:rPr>
        <w:noProof/>
      </w:rPr>
      <mc:AlternateContent>
        <mc:Choice Requires="wps">
          <w:drawing>
            <wp:anchor distT="0" distB="0" distL="114300" distR="114300" simplePos="0" relativeHeight="251659264" behindDoc="0" locked="0" layoutInCell="1" allowOverlap="1" wp14:anchorId="2FF1B323" wp14:editId="667203C1">
              <wp:simplePos x="0" y="0"/>
              <wp:positionH relativeFrom="margin">
                <wp:posOffset>730250</wp:posOffset>
              </wp:positionH>
              <wp:positionV relativeFrom="paragraph">
                <wp:posOffset>57150</wp:posOffset>
              </wp:positionV>
              <wp:extent cx="4495800" cy="320675"/>
              <wp:effectExtent l="0" t="0" r="0" b="3175"/>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32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A4B8A3" w14:textId="77777777" w:rsidR="00C75B4B" w:rsidRPr="00DE49D8" w:rsidRDefault="00C75B4B" w:rsidP="00C75B4B">
                          <w:pPr>
                            <w:jc w:val="center"/>
                            <w:rPr>
                              <w:sz w:val="18"/>
                              <w:szCs w:val="18"/>
                            </w:rPr>
                          </w:pPr>
                          <w:r w:rsidRPr="00DE49D8">
                            <w:rPr>
                              <w:sz w:val="18"/>
                              <w:szCs w:val="18"/>
                            </w:rPr>
                            <w:t>2 PEACHTREE STREET NW, SUITE 19-490 | ATLANTA, GA  30303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3255B" id="_x0000_t202" coordsize="21600,21600" o:spt="202" path="m,l,21600r21600,l21600,xe">
              <v:stroke joinstyle="miter"/>
              <v:path gradientshapeok="t" o:connecttype="rect"/>
            </v:shapetype>
            <v:shape id="Text Box 3" o:spid="_x0000_s1026" type="#_x0000_t202" style="position:absolute;margin-left:57.5pt;margin-top:4.5pt;width:354pt;height: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" filled="f" stroked="f">
              <v:path arrowok="t"/>
              <v:textbox>
                <w:txbxContent>
                  <w:p w:rsidR="00C75B4B" w:rsidRPr="00DE49D8" w:rsidRDefault="00C75B4B" w:rsidP="00C75B4B">
                    <w:pPr>
                      <w:jc w:val="center"/>
                      <w:rPr>
                        <w:sz w:val="18"/>
                        <w:szCs w:val="18"/>
                      </w:rPr>
                    </w:pPr>
                    <w:r w:rsidRPr="00DE49D8">
                      <w:rPr>
                        <w:sz w:val="18"/>
                        <w:szCs w:val="18"/>
                      </w:rPr>
                      <w:t>2 PEACHTREE STREET NW, SUITE 19-490 | ATLANTA, GA  30303</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4515" w14:textId="77777777" w:rsidR="00C75B4B" w:rsidRDefault="00C75B4B">
    <w:pPr>
      <w:pStyle w:val="Footer"/>
    </w:pPr>
    <w:r>
      <w:rPr>
        <w:noProof/>
      </w:rPr>
      <mc:AlternateContent>
        <mc:Choice Requires="wps">
          <w:drawing>
            <wp:anchor distT="0" distB="0" distL="114300" distR="114300" simplePos="0" relativeHeight="251665408" behindDoc="0" locked="0" layoutInCell="1" allowOverlap="1" wp14:anchorId="61808E25" wp14:editId="1BDA15BC">
              <wp:simplePos x="0" y="0"/>
              <wp:positionH relativeFrom="column">
                <wp:posOffset>-1111250</wp:posOffset>
              </wp:positionH>
              <wp:positionV relativeFrom="paragraph">
                <wp:posOffset>-241300</wp:posOffset>
              </wp:positionV>
              <wp:extent cx="8070215" cy="1270"/>
              <wp:effectExtent l="0" t="0" r="6985" b="177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ln w="12700">
                        <a:solidFill>
                          <a:srgbClr val="021F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D31433"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5pt,-19pt" to="547.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" strokecolor="#021f40" strokeweight="1pt">
              <v:stroke joinstyle="miter"/>
              <o:lock v:ext="edit" shapetype="f"/>
            </v:line>
          </w:pict>
        </mc:Fallback>
      </mc:AlternateContent>
    </w:r>
    <w:r w:rsidRPr="00C75B4B">
      <w:rPr>
        <w:noProof/>
      </w:rPr>
      <w:drawing>
        <wp:anchor distT="0" distB="0" distL="114300" distR="114300" simplePos="0" relativeHeight="251663360" behindDoc="0" locked="0" layoutInCell="1" allowOverlap="1" wp14:anchorId="18807D2E" wp14:editId="144F03D0">
          <wp:simplePos x="0" y="0"/>
          <wp:positionH relativeFrom="margin">
            <wp:align>center</wp:align>
          </wp:positionH>
          <wp:positionV relativeFrom="paragraph">
            <wp:posOffset>-82550</wp:posOffset>
          </wp:positionV>
          <wp:extent cx="3568065" cy="228600"/>
          <wp:effectExtent l="0" t="0" r="0" b="0"/>
          <wp:wrapThrough wrapText="bothSides">
            <wp:wrapPolygon edited="0">
              <wp:start x="3460" y="0"/>
              <wp:lineTo x="0" y="9000"/>
              <wp:lineTo x="0" y="19800"/>
              <wp:lineTo x="21450" y="19800"/>
              <wp:lineTo x="21450" y="10800"/>
              <wp:lineTo x="17990" y="0"/>
              <wp:lineTo x="346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_VI_LetterHead_Leadership_Footer_Bold.pdf"/>
                  <pic:cNvPicPr/>
                </pic:nvPicPr>
                <pic:blipFill>
                  <a:blip r:embed="rId1"/>
                  <a:stretch>
                    <a:fillRect/>
                  </a:stretch>
                </pic:blipFill>
                <pic:spPr>
                  <a:xfrm>
                    <a:off x="0" y="0"/>
                    <a:ext cx="3568065" cy="228600"/>
                  </a:xfrm>
                  <a:prstGeom prst="rect">
                    <a:avLst/>
                  </a:prstGeom>
                </pic:spPr>
              </pic:pic>
            </a:graphicData>
          </a:graphic>
        </wp:anchor>
      </w:drawing>
    </w:r>
    <w:r w:rsidRPr="00C75B4B">
      <w:rPr>
        <w:noProof/>
      </w:rPr>
      <mc:AlternateContent>
        <mc:Choice Requires="wps">
          <w:drawing>
            <wp:anchor distT="0" distB="0" distL="114300" distR="114300" simplePos="0" relativeHeight="251662336" behindDoc="0" locked="0" layoutInCell="1" allowOverlap="1" wp14:anchorId="3651FB95" wp14:editId="022D65BD">
              <wp:simplePos x="0" y="0"/>
              <wp:positionH relativeFrom="margin">
                <wp:posOffset>685800</wp:posOffset>
              </wp:positionH>
              <wp:positionV relativeFrom="paragraph">
                <wp:posOffset>158750</wp:posOffset>
              </wp:positionV>
              <wp:extent cx="4495800" cy="32067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32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FA8B2C" w14:textId="77777777" w:rsidR="00C75B4B" w:rsidRPr="00BB2317" w:rsidRDefault="00C75B4B" w:rsidP="00C75B4B">
                          <w:pPr>
                            <w:jc w:val="center"/>
                            <w:rPr>
                              <w:rFonts w:ascii="Arial" w:hAnsi="Arial" w:cs="Arial"/>
                              <w:sz w:val="16"/>
                              <w:szCs w:val="18"/>
                            </w:rPr>
                          </w:pPr>
                          <w:r w:rsidRPr="00BB2317">
                            <w:rPr>
                              <w:rFonts w:ascii="Arial" w:hAnsi="Arial" w:cs="Arial"/>
                              <w:sz w:val="16"/>
                              <w:szCs w:val="18"/>
                            </w:rPr>
                            <w:t>2 PEACHTREE STREET NW, SUITE 19-490 | ATLANTA, GA  30303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01E57" id="_x0000_t202" coordsize="21600,21600" o:spt="202" path="m,l,21600r21600,l21600,xe">
              <v:stroke joinstyle="miter"/>
              <v:path gradientshapeok="t" o:connecttype="rect"/>
            </v:shapetype>
            <v:shape id="_x0000_s1027" type="#_x0000_t202" style="position:absolute;margin-left:54pt;margin-top:12.5pt;width:354pt;height:2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" filled="f" stroked="f">
              <v:path arrowok="t"/>
              <v:textbox>
                <w:txbxContent>
                  <w:p w:rsidR="00C75B4B" w:rsidRPr="00BB2317" w:rsidRDefault="00C75B4B" w:rsidP="00C75B4B">
                    <w:pPr>
                      <w:jc w:val="center"/>
                      <w:rPr>
                        <w:rFonts w:ascii="Arial" w:hAnsi="Arial" w:cs="Arial"/>
                        <w:sz w:val="16"/>
                        <w:szCs w:val="18"/>
                      </w:rPr>
                    </w:pPr>
                    <w:r w:rsidRPr="00BB2317">
                      <w:rPr>
                        <w:rFonts w:ascii="Arial" w:hAnsi="Arial" w:cs="Arial"/>
                        <w:sz w:val="16"/>
                        <w:szCs w:val="18"/>
                      </w:rPr>
                      <w:t>2 PEACHTREE STREET NW, SUITE 19-490 | ATLANTA, GA  30303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0904" w14:textId="77777777" w:rsidR="00585B84" w:rsidRDefault="00585B84" w:rsidP="00C75B4B">
      <w:pPr>
        <w:spacing w:after="0" w:line="240" w:lineRule="auto"/>
      </w:pPr>
      <w:r>
        <w:separator/>
      </w:r>
    </w:p>
  </w:footnote>
  <w:footnote w:type="continuationSeparator" w:id="0">
    <w:p w14:paraId="16A891EA" w14:textId="77777777" w:rsidR="00585B84" w:rsidRDefault="00585B84" w:rsidP="00C7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FABC" w14:textId="77777777" w:rsidR="00C75B4B" w:rsidRDefault="00EB06D2" w:rsidP="00424EA3">
    <w:pPr>
      <w:pStyle w:val="Header"/>
      <w:tabs>
        <w:tab w:val="clear" w:pos="4680"/>
        <w:tab w:val="clear" w:pos="9360"/>
        <w:tab w:val="left" w:pos="4035"/>
      </w:tabs>
    </w:pPr>
    <w:r>
      <w:rPr>
        <w:noProof/>
      </w:rPr>
      <w:drawing>
        <wp:anchor distT="0" distB="0" distL="114300" distR="114300" simplePos="0" relativeHeight="251670528" behindDoc="0" locked="0" layoutInCell="1" allowOverlap="1" wp14:anchorId="3F06EC3D" wp14:editId="07A1B3EF">
          <wp:simplePos x="0" y="0"/>
          <wp:positionH relativeFrom="column">
            <wp:posOffset>-1228408</wp:posOffset>
          </wp:positionH>
          <wp:positionV relativeFrom="paragraph">
            <wp:posOffset>-442912</wp:posOffset>
          </wp:positionV>
          <wp:extent cx="8189511" cy="16764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9511"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E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57D"/>
    <w:multiLevelType w:val="hybridMultilevel"/>
    <w:tmpl w:val="AE9647F2"/>
    <w:lvl w:ilvl="0" w:tplc="0409001B">
      <w:start w:val="1"/>
      <w:numFmt w:val="lowerRoman"/>
      <w:lvlText w:val="%1."/>
      <w:lvlJc w:val="righ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1" w15:restartNumberingAfterBreak="0">
    <w:nsid w:val="0ACE211E"/>
    <w:multiLevelType w:val="hybridMultilevel"/>
    <w:tmpl w:val="59F802F6"/>
    <w:lvl w:ilvl="0" w:tplc="04090001">
      <w:start w:val="1"/>
      <w:numFmt w:val="bullet"/>
      <w:lvlText w:val=""/>
      <w:lvlJc w:val="left"/>
      <w:pPr>
        <w:ind w:left="2930" w:hanging="360"/>
      </w:pPr>
      <w:rPr>
        <w:rFonts w:ascii="Symbol" w:hAnsi="Symbol" w:hint="default"/>
      </w:rPr>
    </w:lvl>
    <w:lvl w:ilvl="1" w:tplc="04090003" w:tentative="1">
      <w:start w:val="1"/>
      <w:numFmt w:val="bullet"/>
      <w:lvlText w:val="o"/>
      <w:lvlJc w:val="left"/>
      <w:pPr>
        <w:ind w:left="3650" w:hanging="360"/>
      </w:pPr>
      <w:rPr>
        <w:rFonts w:ascii="Courier New" w:hAnsi="Courier New" w:cs="Courier New" w:hint="default"/>
      </w:rPr>
    </w:lvl>
    <w:lvl w:ilvl="2" w:tplc="04090005" w:tentative="1">
      <w:start w:val="1"/>
      <w:numFmt w:val="bullet"/>
      <w:lvlText w:val=""/>
      <w:lvlJc w:val="left"/>
      <w:pPr>
        <w:ind w:left="4370" w:hanging="360"/>
      </w:pPr>
      <w:rPr>
        <w:rFonts w:ascii="Wingdings" w:hAnsi="Wingdings" w:hint="default"/>
      </w:rPr>
    </w:lvl>
    <w:lvl w:ilvl="3" w:tplc="04090001" w:tentative="1">
      <w:start w:val="1"/>
      <w:numFmt w:val="bullet"/>
      <w:lvlText w:val=""/>
      <w:lvlJc w:val="left"/>
      <w:pPr>
        <w:ind w:left="5090" w:hanging="360"/>
      </w:pPr>
      <w:rPr>
        <w:rFonts w:ascii="Symbol" w:hAnsi="Symbol" w:hint="default"/>
      </w:rPr>
    </w:lvl>
    <w:lvl w:ilvl="4" w:tplc="04090003" w:tentative="1">
      <w:start w:val="1"/>
      <w:numFmt w:val="bullet"/>
      <w:lvlText w:val="o"/>
      <w:lvlJc w:val="left"/>
      <w:pPr>
        <w:ind w:left="5810" w:hanging="360"/>
      </w:pPr>
      <w:rPr>
        <w:rFonts w:ascii="Courier New" w:hAnsi="Courier New" w:cs="Courier New" w:hint="default"/>
      </w:rPr>
    </w:lvl>
    <w:lvl w:ilvl="5" w:tplc="04090005" w:tentative="1">
      <w:start w:val="1"/>
      <w:numFmt w:val="bullet"/>
      <w:lvlText w:val=""/>
      <w:lvlJc w:val="left"/>
      <w:pPr>
        <w:ind w:left="6530" w:hanging="360"/>
      </w:pPr>
      <w:rPr>
        <w:rFonts w:ascii="Wingdings" w:hAnsi="Wingdings" w:hint="default"/>
      </w:rPr>
    </w:lvl>
    <w:lvl w:ilvl="6" w:tplc="04090001" w:tentative="1">
      <w:start w:val="1"/>
      <w:numFmt w:val="bullet"/>
      <w:lvlText w:val=""/>
      <w:lvlJc w:val="left"/>
      <w:pPr>
        <w:ind w:left="7250" w:hanging="360"/>
      </w:pPr>
      <w:rPr>
        <w:rFonts w:ascii="Symbol" w:hAnsi="Symbol" w:hint="default"/>
      </w:rPr>
    </w:lvl>
    <w:lvl w:ilvl="7" w:tplc="04090003" w:tentative="1">
      <w:start w:val="1"/>
      <w:numFmt w:val="bullet"/>
      <w:lvlText w:val="o"/>
      <w:lvlJc w:val="left"/>
      <w:pPr>
        <w:ind w:left="7970" w:hanging="360"/>
      </w:pPr>
      <w:rPr>
        <w:rFonts w:ascii="Courier New" w:hAnsi="Courier New" w:cs="Courier New" w:hint="default"/>
      </w:rPr>
    </w:lvl>
    <w:lvl w:ilvl="8" w:tplc="04090005" w:tentative="1">
      <w:start w:val="1"/>
      <w:numFmt w:val="bullet"/>
      <w:lvlText w:val=""/>
      <w:lvlJc w:val="left"/>
      <w:pPr>
        <w:ind w:left="8690" w:hanging="360"/>
      </w:pPr>
      <w:rPr>
        <w:rFonts w:ascii="Wingdings" w:hAnsi="Wingdings" w:hint="default"/>
      </w:rPr>
    </w:lvl>
  </w:abstractNum>
  <w:abstractNum w:abstractNumId="2" w15:restartNumberingAfterBreak="0">
    <w:nsid w:val="14DC64C1"/>
    <w:multiLevelType w:val="hybridMultilevel"/>
    <w:tmpl w:val="9D5667B4"/>
    <w:lvl w:ilvl="0" w:tplc="85ACBB70">
      <w:start w:val="1"/>
      <w:numFmt w:val="upperRoman"/>
      <w:lvlText w:val="%1."/>
      <w:lvlJc w:val="left"/>
      <w:pPr>
        <w:ind w:left="1080" w:hanging="72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8D66A3"/>
    <w:multiLevelType w:val="hybridMultilevel"/>
    <w:tmpl w:val="97D67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91844"/>
    <w:multiLevelType w:val="hybridMultilevel"/>
    <w:tmpl w:val="423C476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B75548"/>
    <w:multiLevelType w:val="hybridMultilevel"/>
    <w:tmpl w:val="CD4C76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A02ADD"/>
    <w:multiLevelType w:val="hybridMultilevel"/>
    <w:tmpl w:val="258A85FC"/>
    <w:lvl w:ilvl="0" w:tplc="0409001B">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7" w15:restartNumberingAfterBreak="0">
    <w:nsid w:val="46A153F2"/>
    <w:multiLevelType w:val="hybridMultilevel"/>
    <w:tmpl w:val="9ECEE578"/>
    <w:lvl w:ilvl="0" w:tplc="2B8AD33E">
      <w:start w:val="7"/>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4D511D3"/>
    <w:multiLevelType w:val="hybridMultilevel"/>
    <w:tmpl w:val="DD90673E"/>
    <w:lvl w:ilvl="0" w:tplc="711E22BC">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8"/>
  </w:num>
  <w:num w:numId="4">
    <w:abstractNumId w:val="2"/>
  </w:num>
  <w:num w:numId="5">
    <w:abstractNumId w:val="3"/>
  </w:num>
  <w:num w:numId="6">
    <w:abstractNumId w:val="5"/>
  </w:num>
  <w:num w:numId="7">
    <w:abstractNumId w:val="4"/>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4B"/>
    <w:rsid w:val="00065366"/>
    <w:rsid w:val="000A6B71"/>
    <w:rsid w:val="000B7A16"/>
    <w:rsid w:val="000C4D81"/>
    <w:rsid w:val="000E2E75"/>
    <w:rsid w:val="000E42D9"/>
    <w:rsid w:val="001108E5"/>
    <w:rsid w:val="00131BFF"/>
    <w:rsid w:val="00154D80"/>
    <w:rsid w:val="001578C4"/>
    <w:rsid w:val="00157E9F"/>
    <w:rsid w:val="00161479"/>
    <w:rsid w:val="001669F0"/>
    <w:rsid w:val="00166FF0"/>
    <w:rsid w:val="00170443"/>
    <w:rsid w:val="001C4A20"/>
    <w:rsid w:val="001F5684"/>
    <w:rsid w:val="002019CA"/>
    <w:rsid w:val="00215C85"/>
    <w:rsid w:val="00233D9A"/>
    <w:rsid w:val="00277C3B"/>
    <w:rsid w:val="002868AE"/>
    <w:rsid w:val="00292BE0"/>
    <w:rsid w:val="002934EA"/>
    <w:rsid w:val="002A54BE"/>
    <w:rsid w:val="002D3273"/>
    <w:rsid w:val="002D3CAB"/>
    <w:rsid w:val="00301343"/>
    <w:rsid w:val="00321E52"/>
    <w:rsid w:val="00333FE4"/>
    <w:rsid w:val="003427C6"/>
    <w:rsid w:val="00343831"/>
    <w:rsid w:val="003602CB"/>
    <w:rsid w:val="00372523"/>
    <w:rsid w:val="003808CA"/>
    <w:rsid w:val="00380D99"/>
    <w:rsid w:val="00394494"/>
    <w:rsid w:val="00394B0A"/>
    <w:rsid w:val="003977C5"/>
    <w:rsid w:val="003C5D9C"/>
    <w:rsid w:val="004039FA"/>
    <w:rsid w:val="0041532C"/>
    <w:rsid w:val="00421CEA"/>
    <w:rsid w:val="00424EA3"/>
    <w:rsid w:val="00440557"/>
    <w:rsid w:val="00441D20"/>
    <w:rsid w:val="0046245C"/>
    <w:rsid w:val="004642CD"/>
    <w:rsid w:val="00474FCC"/>
    <w:rsid w:val="00476E2B"/>
    <w:rsid w:val="004928AA"/>
    <w:rsid w:val="004A073D"/>
    <w:rsid w:val="004B4731"/>
    <w:rsid w:val="004B55D1"/>
    <w:rsid w:val="004B7F6E"/>
    <w:rsid w:val="004C08EF"/>
    <w:rsid w:val="004D7405"/>
    <w:rsid w:val="004E4238"/>
    <w:rsid w:val="004E4B82"/>
    <w:rsid w:val="004E6872"/>
    <w:rsid w:val="004F688B"/>
    <w:rsid w:val="005206B8"/>
    <w:rsid w:val="0052156A"/>
    <w:rsid w:val="00530214"/>
    <w:rsid w:val="005402D3"/>
    <w:rsid w:val="0056060B"/>
    <w:rsid w:val="0058067B"/>
    <w:rsid w:val="00580A9B"/>
    <w:rsid w:val="005817A1"/>
    <w:rsid w:val="0058235E"/>
    <w:rsid w:val="00585B84"/>
    <w:rsid w:val="005976FE"/>
    <w:rsid w:val="005A0729"/>
    <w:rsid w:val="005B783B"/>
    <w:rsid w:val="005C6E28"/>
    <w:rsid w:val="005E1DA3"/>
    <w:rsid w:val="005F010F"/>
    <w:rsid w:val="006270B2"/>
    <w:rsid w:val="00652C0A"/>
    <w:rsid w:val="00670402"/>
    <w:rsid w:val="00676144"/>
    <w:rsid w:val="006777E5"/>
    <w:rsid w:val="006822ED"/>
    <w:rsid w:val="0068623A"/>
    <w:rsid w:val="006B080F"/>
    <w:rsid w:val="006B4089"/>
    <w:rsid w:val="006E2380"/>
    <w:rsid w:val="006E424A"/>
    <w:rsid w:val="006F1A8E"/>
    <w:rsid w:val="00717588"/>
    <w:rsid w:val="007405F9"/>
    <w:rsid w:val="00742CBE"/>
    <w:rsid w:val="00750F8C"/>
    <w:rsid w:val="00754114"/>
    <w:rsid w:val="00761FFA"/>
    <w:rsid w:val="007942EA"/>
    <w:rsid w:val="00796119"/>
    <w:rsid w:val="007A3DFC"/>
    <w:rsid w:val="007A7A3D"/>
    <w:rsid w:val="007B334F"/>
    <w:rsid w:val="007B35A2"/>
    <w:rsid w:val="007D14C1"/>
    <w:rsid w:val="007D251F"/>
    <w:rsid w:val="007E0D3D"/>
    <w:rsid w:val="007F4173"/>
    <w:rsid w:val="008057B2"/>
    <w:rsid w:val="00811365"/>
    <w:rsid w:val="0082599B"/>
    <w:rsid w:val="008449F3"/>
    <w:rsid w:val="008527DD"/>
    <w:rsid w:val="00855D9C"/>
    <w:rsid w:val="008723C4"/>
    <w:rsid w:val="00887746"/>
    <w:rsid w:val="00892557"/>
    <w:rsid w:val="008A0AD3"/>
    <w:rsid w:val="008D5F66"/>
    <w:rsid w:val="00904456"/>
    <w:rsid w:val="00910187"/>
    <w:rsid w:val="00912F53"/>
    <w:rsid w:val="0091303B"/>
    <w:rsid w:val="009136BD"/>
    <w:rsid w:val="009252ED"/>
    <w:rsid w:val="00957FBF"/>
    <w:rsid w:val="0096333F"/>
    <w:rsid w:val="00971B86"/>
    <w:rsid w:val="00997D4C"/>
    <w:rsid w:val="009B72F6"/>
    <w:rsid w:val="009B73FB"/>
    <w:rsid w:val="009C64CD"/>
    <w:rsid w:val="009D0F2C"/>
    <w:rsid w:val="009D4C5B"/>
    <w:rsid w:val="009E0E73"/>
    <w:rsid w:val="009E0ED3"/>
    <w:rsid w:val="009F0FEF"/>
    <w:rsid w:val="00A142D0"/>
    <w:rsid w:val="00A359CB"/>
    <w:rsid w:val="00A374BC"/>
    <w:rsid w:val="00A40029"/>
    <w:rsid w:val="00A55BD8"/>
    <w:rsid w:val="00A62E7A"/>
    <w:rsid w:val="00A63E70"/>
    <w:rsid w:val="00A64971"/>
    <w:rsid w:val="00A661C6"/>
    <w:rsid w:val="00A666C9"/>
    <w:rsid w:val="00A67347"/>
    <w:rsid w:val="00A86430"/>
    <w:rsid w:val="00A87E59"/>
    <w:rsid w:val="00A924D5"/>
    <w:rsid w:val="00AB1635"/>
    <w:rsid w:val="00AC1FF7"/>
    <w:rsid w:val="00AE26D0"/>
    <w:rsid w:val="00B117A1"/>
    <w:rsid w:val="00B301CF"/>
    <w:rsid w:val="00B31D47"/>
    <w:rsid w:val="00B359B2"/>
    <w:rsid w:val="00B40B47"/>
    <w:rsid w:val="00BA5506"/>
    <w:rsid w:val="00BA5E5F"/>
    <w:rsid w:val="00BB2317"/>
    <w:rsid w:val="00BB6D32"/>
    <w:rsid w:val="00BD6687"/>
    <w:rsid w:val="00BE4DFC"/>
    <w:rsid w:val="00C01079"/>
    <w:rsid w:val="00C27333"/>
    <w:rsid w:val="00C3717E"/>
    <w:rsid w:val="00C6613F"/>
    <w:rsid w:val="00C75B4B"/>
    <w:rsid w:val="00C85B58"/>
    <w:rsid w:val="00CA04D7"/>
    <w:rsid w:val="00CB7FCD"/>
    <w:rsid w:val="00CC65AB"/>
    <w:rsid w:val="00CE70C6"/>
    <w:rsid w:val="00CF155D"/>
    <w:rsid w:val="00CF29FB"/>
    <w:rsid w:val="00CF44EB"/>
    <w:rsid w:val="00D232B6"/>
    <w:rsid w:val="00D246C1"/>
    <w:rsid w:val="00D562DF"/>
    <w:rsid w:val="00D619A9"/>
    <w:rsid w:val="00D62FE4"/>
    <w:rsid w:val="00D70317"/>
    <w:rsid w:val="00D75EFF"/>
    <w:rsid w:val="00D776F8"/>
    <w:rsid w:val="00D77A1C"/>
    <w:rsid w:val="00D80B23"/>
    <w:rsid w:val="00D8301D"/>
    <w:rsid w:val="00D9008F"/>
    <w:rsid w:val="00D96271"/>
    <w:rsid w:val="00D970E8"/>
    <w:rsid w:val="00DA5FF3"/>
    <w:rsid w:val="00DC517E"/>
    <w:rsid w:val="00DD0301"/>
    <w:rsid w:val="00DE14C0"/>
    <w:rsid w:val="00DE457D"/>
    <w:rsid w:val="00DE5E0D"/>
    <w:rsid w:val="00DF029C"/>
    <w:rsid w:val="00E00CDD"/>
    <w:rsid w:val="00E024D7"/>
    <w:rsid w:val="00E26C9A"/>
    <w:rsid w:val="00E30C32"/>
    <w:rsid w:val="00E46020"/>
    <w:rsid w:val="00E66267"/>
    <w:rsid w:val="00E7058E"/>
    <w:rsid w:val="00E73625"/>
    <w:rsid w:val="00E75D68"/>
    <w:rsid w:val="00E77AF2"/>
    <w:rsid w:val="00E9245F"/>
    <w:rsid w:val="00EA019F"/>
    <w:rsid w:val="00EA2AB3"/>
    <w:rsid w:val="00EB06D2"/>
    <w:rsid w:val="00EC0B88"/>
    <w:rsid w:val="00EC7F02"/>
    <w:rsid w:val="00ED314F"/>
    <w:rsid w:val="00ED431B"/>
    <w:rsid w:val="00EE1EC2"/>
    <w:rsid w:val="00EE4C25"/>
    <w:rsid w:val="00EE6755"/>
    <w:rsid w:val="00EE7466"/>
    <w:rsid w:val="00EF6216"/>
    <w:rsid w:val="00F1499F"/>
    <w:rsid w:val="00F2370F"/>
    <w:rsid w:val="00F35B27"/>
    <w:rsid w:val="00F540EE"/>
    <w:rsid w:val="00F63A7B"/>
    <w:rsid w:val="00F67DBF"/>
    <w:rsid w:val="00F777EE"/>
    <w:rsid w:val="00F87C87"/>
    <w:rsid w:val="00F9218A"/>
    <w:rsid w:val="00F9772B"/>
    <w:rsid w:val="00FC7499"/>
    <w:rsid w:val="00FC7E46"/>
    <w:rsid w:val="00FD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5A408"/>
  <w15:chartTrackingRefBased/>
  <w15:docId w15:val="{ECAC8B08-25B6-4EEC-A3A9-A2F4874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4B"/>
  </w:style>
  <w:style w:type="paragraph" w:styleId="Footer">
    <w:name w:val="footer"/>
    <w:basedOn w:val="Normal"/>
    <w:link w:val="FooterChar"/>
    <w:uiPriority w:val="99"/>
    <w:unhideWhenUsed/>
    <w:rsid w:val="00C7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4B"/>
  </w:style>
  <w:style w:type="character" w:styleId="Hyperlink">
    <w:name w:val="Hyperlink"/>
    <w:basedOn w:val="DefaultParagraphFont"/>
    <w:uiPriority w:val="99"/>
    <w:unhideWhenUsed/>
    <w:rsid w:val="0058235E"/>
    <w:rPr>
      <w:color w:val="0563C1" w:themeColor="hyperlink"/>
      <w:u w:val="single"/>
    </w:rPr>
  </w:style>
  <w:style w:type="character" w:customStyle="1" w:styleId="UnresolvedMention1">
    <w:name w:val="Unresolved Mention1"/>
    <w:basedOn w:val="DefaultParagraphFont"/>
    <w:uiPriority w:val="99"/>
    <w:semiHidden/>
    <w:unhideWhenUsed/>
    <w:rsid w:val="0058235E"/>
    <w:rPr>
      <w:color w:val="605E5C"/>
      <w:shd w:val="clear" w:color="auto" w:fill="E1DFDD"/>
    </w:rPr>
  </w:style>
  <w:style w:type="paragraph" w:styleId="ListParagraph">
    <w:name w:val="List Paragraph"/>
    <w:basedOn w:val="Normal"/>
    <w:uiPriority w:val="34"/>
    <w:qFormat/>
    <w:rsid w:val="00A64971"/>
    <w:pPr>
      <w:ind w:left="720"/>
      <w:contextualSpacing/>
    </w:pPr>
  </w:style>
  <w:style w:type="paragraph" w:styleId="BalloonText">
    <w:name w:val="Balloon Text"/>
    <w:basedOn w:val="Normal"/>
    <w:link w:val="BalloonTextChar"/>
    <w:uiPriority w:val="99"/>
    <w:semiHidden/>
    <w:unhideWhenUsed/>
    <w:rsid w:val="00BA5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PresentationFormat>15|.DOCX</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Pair</dc:creator>
  <cp:keywords/>
  <dc:description/>
  <cp:lastModifiedBy>Perry, Salena</cp:lastModifiedBy>
  <cp:revision>3</cp:revision>
  <dcterms:created xsi:type="dcterms:W3CDTF">2021-06-01T13:53:00Z</dcterms:created>
  <dcterms:modified xsi:type="dcterms:W3CDTF">2021-06-01T13:53:00Z</dcterms:modified>
</cp:coreProperties>
</file>